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1437B" w14:textId="77777777" w:rsidR="00E70178" w:rsidRDefault="00000000">
      <w:pPr>
        <w:rPr>
          <w:sz w:val="26"/>
          <w:szCs w:val="26"/>
        </w:rPr>
      </w:pPr>
      <w:r>
        <w:pict w14:anchorId="48D75C00">
          <v:rect id="_x0000_i1025" style="width:0;height:1.5pt" o:hralign="center" o:hrstd="t" o:hr="t" fillcolor="#a0a0a0" stroked="f"/>
        </w:pict>
      </w:r>
    </w:p>
    <w:p w14:paraId="26068812" w14:textId="77777777" w:rsidR="00E70178" w:rsidRDefault="00E70178">
      <w:pPr>
        <w:rPr>
          <w:sz w:val="26"/>
          <w:szCs w:val="26"/>
        </w:rPr>
      </w:pPr>
    </w:p>
    <w:p w14:paraId="639EF1D4" w14:textId="77777777" w:rsidR="00E70178" w:rsidRDefault="00000000">
      <w:pPr>
        <w:numPr>
          <w:ilvl w:val="0"/>
          <w:numId w:val="1"/>
        </w:numPr>
        <w:spacing w:line="360" w:lineRule="auto"/>
        <w:rPr>
          <w:b/>
          <w:sz w:val="26"/>
          <w:szCs w:val="26"/>
        </w:rPr>
      </w:pPr>
      <w:r>
        <w:rPr>
          <w:b/>
          <w:sz w:val="26"/>
          <w:szCs w:val="26"/>
        </w:rPr>
        <w:t>Purpose</w:t>
      </w:r>
    </w:p>
    <w:p w14:paraId="63B0434E" w14:textId="77777777" w:rsidR="00E70178" w:rsidRDefault="00000000">
      <w:pPr>
        <w:numPr>
          <w:ilvl w:val="1"/>
          <w:numId w:val="1"/>
        </w:numPr>
        <w:spacing w:line="360" w:lineRule="auto"/>
        <w:rPr>
          <w:sz w:val="18"/>
          <w:szCs w:val="18"/>
        </w:rPr>
      </w:pPr>
      <w:r>
        <w:rPr>
          <w:sz w:val="18"/>
          <w:szCs w:val="18"/>
        </w:rPr>
        <w:t xml:space="preserve">The </w:t>
      </w:r>
      <w:proofErr w:type="spellStart"/>
      <w:r>
        <w:rPr>
          <w:sz w:val="18"/>
          <w:szCs w:val="18"/>
        </w:rPr>
        <w:t>Thermo</w:t>
      </w:r>
      <w:proofErr w:type="spellEnd"/>
      <w:r>
        <w:rPr>
          <w:sz w:val="18"/>
          <w:szCs w:val="18"/>
        </w:rPr>
        <w:t xml:space="preserve"> </w:t>
      </w:r>
      <w:proofErr w:type="spellStart"/>
      <w:r>
        <w:rPr>
          <w:sz w:val="18"/>
          <w:szCs w:val="18"/>
        </w:rPr>
        <w:t>iCAP</w:t>
      </w:r>
      <w:proofErr w:type="spellEnd"/>
      <w:r>
        <w:rPr>
          <w:sz w:val="18"/>
          <w:szCs w:val="18"/>
        </w:rPr>
        <w:t xml:space="preserve"> RQ ICP-MS (Inductively Coupled Plasma - Mass Spectrometer) is a spectrometer that </w:t>
      </w:r>
      <w:proofErr w:type="gramStart"/>
      <w:r>
        <w:rPr>
          <w:sz w:val="18"/>
          <w:szCs w:val="18"/>
        </w:rPr>
        <w:t>is capable of analyzing</w:t>
      </w:r>
      <w:proofErr w:type="gramEnd"/>
      <w:r>
        <w:rPr>
          <w:sz w:val="18"/>
          <w:szCs w:val="18"/>
        </w:rPr>
        <w:t xml:space="preserve"> the concentrations in the parts per trillions range (ppt) of up to 80 elements in a liquid sample. A standard curve using known concentrations must be generated for each element to be analyzed.</w:t>
      </w:r>
    </w:p>
    <w:p w14:paraId="7C12F9C0" w14:textId="77777777" w:rsidR="00E70178" w:rsidRDefault="00000000">
      <w:pPr>
        <w:numPr>
          <w:ilvl w:val="1"/>
          <w:numId w:val="1"/>
        </w:numPr>
        <w:spacing w:line="360" w:lineRule="auto"/>
        <w:rPr>
          <w:sz w:val="18"/>
          <w:szCs w:val="18"/>
        </w:rPr>
      </w:pPr>
      <w:r>
        <w:rPr>
          <w:sz w:val="18"/>
          <w:szCs w:val="18"/>
        </w:rPr>
        <w:t xml:space="preserve">The ICP-MS works by introducing a liquid sample into a nebulizer, where it is dispersed into small droplets. The smallest of these droplets get carried to the sample tube and into the torch, where they are ionized by a 9000K Argon based plasma </w:t>
      </w:r>
      <w:proofErr w:type="gramStart"/>
      <w:r>
        <w:rPr>
          <w:sz w:val="18"/>
          <w:szCs w:val="18"/>
        </w:rPr>
        <w:t>stream..</w:t>
      </w:r>
      <w:proofErr w:type="gramEnd"/>
    </w:p>
    <w:p w14:paraId="7F042299" w14:textId="77777777" w:rsidR="00E70178" w:rsidRDefault="00000000">
      <w:pPr>
        <w:numPr>
          <w:ilvl w:val="0"/>
          <w:numId w:val="1"/>
        </w:numPr>
        <w:spacing w:line="360" w:lineRule="auto"/>
        <w:rPr>
          <w:b/>
        </w:rPr>
      </w:pPr>
      <w:r>
        <w:rPr>
          <w:b/>
        </w:rPr>
        <w:t>List of Terms</w:t>
      </w:r>
    </w:p>
    <w:tbl>
      <w:tblPr>
        <w:tblStyle w:val="a"/>
        <w:tblW w:w="918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7800"/>
      </w:tblGrid>
      <w:tr w:rsidR="00E70178" w14:paraId="531AE41E" w14:textId="77777777">
        <w:tc>
          <w:tcPr>
            <w:tcW w:w="1380" w:type="dxa"/>
            <w:shd w:val="clear" w:color="auto" w:fill="auto"/>
            <w:tcMar>
              <w:top w:w="100" w:type="dxa"/>
              <w:left w:w="100" w:type="dxa"/>
              <w:bottom w:w="100" w:type="dxa"/>
              <w:right w:w="100" w:type="dxa"/>
            </w:tcMar>
          </w:tcPr>
          <w:p w14:paraId="5CB03E7E"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ICP</w:t>
            </w:r>
          </w:p>
        </w:tc>
        <w:tc>
          <w:tcPr>
            <w:tcW w:w="7800" w:type="dxa"/>
            <w:shd w:val="clear" w:color="auto" w:fill="auto"/>
            <w:tcMar>
              <w:top w:w="100" w:type="dxa"/>
              <w:left w:w="100" w:type="dxa"/>
              <w:bottom w:w="100" w:type="dxa"/>
              <w:right w:w="100" w:type="dxa"/>
            </w:tcMar>
          </w:tcPr>
          <w:p w14:paraId="705A4BCD" w14:textId="77777777" w:rsidR="00E70178" w:rsidRDefault="00000000">
            <w:pPr>
              <w:widowControl w:val="0"/>
              <w:pBdr>
                <w:top w:val="nil"/>
                <w:left w:val="nil"/>
                <w:bottom w:val="nil"/>
                <w:right w:val="nil"/>
                <w:between w:val="nil"/>
              </w:pBdr>
              <w:spacing w:line="240" w:lineRule="auto"/>
              <w:rPr>
                <w:sz w:val="18"/>
                <w:szCs w:val="18"/>
              </w:rPr>
            </w:pPr>
            <w:r>
              <w:rPr>
                <w:b/>
                <w:sz w:val="18"/>
                <w:szCs w:val="18"/>
              </w:rPr>
              <w:t>Inductively Coupled Plasma -</w:t>
            </w:r>
            <w:r>
              <w:rPr>
                <w:sz w:val="18"/>
                <w:szCs w:val="18"/>
              </w:rPr>
              <w:t xml:space="preserve"> A way of generating plasma that uses electromagnetic induction to generate the energy to create a gas into plasma for the ionization and introduction of samples into a detector.</w:t>
            </w:r>
          </w:p>
        </w:tc>
      </w:tr>
      <w:tr w:rsidR="00E70178" w14:paraId="468948D7" w14:textId="77777777">
        <w:tc>
          <w:tcPr>
            <w:tcW w:w="1380" w:type="dxa"/>
            <w:shd w:val="clear" w:color="auto" w:fill="auto"/>
            <w:tcMar>
              <w:top w:w="100" w:type="dxa"/>
              <w:left w:w="100" w:type="dxa"/>
              <w:bottom w:w="100" w:type="dxa"/>
              <w:right w:w="100" w:type="dxa"/>
            </w:tcMar>
          </w:tcPr>
          <w:p w14:paraId="49AE3B6C"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MS</w:t>
            </w:r>
          </w:p>
        </w:tc>
        <w:tc>
          <w:tcPr>
            <w:tcW w:w="7800" w:type="dxa"/>
            <w:shd w:val="clear" w:color="auto" w:fill="auto"/>
            <w:tcMar>
              <w:top w:w="100" w:type="dxa"/>
              <w:left w:w="100" w:type="dxa"/>
              <w:bottom w:w="100" w:type="dxa"/>
              <w:right w:w="100" w:type="dxa"/>
            </w:tcMar>
          </w:tcPr>
          <w:p w14:paraId="3C2A86FC" w14:textId="77777777" w:rsidR="00E70178" w:rsidRDefault="00000000">
            <w:pPr>
              <w:widowControl w:val="0"/>
              <w:pBdr>
                <w:top w:val="nil"/>
                <w:left w:val="nil"/>
                <w:bottom w:val="nil"/>
                <w:right w:val="nil"/>
                <w:between w:val="nil"/>
              </w:pBdr>
              <w:spacing w:line="240" w:lineRule="auto"/>
              <w:rPr>
                <w:sz w:val="18"/>
                <w:szCs w:val="18"/>
              </w:rPr>
            </w:pPr>
            <w:r>
              <w:rPr>
                <w:b/>
                <w:sz w:val="18"/>
                <w:szCs w:val="18"/>
              </w:rPr>
              <w:t xml:space="preserve">Mass Spectrometer- </w:t>
            </w:r>
            <w:r>
              <w:rPr>
                <w:sz w:val="18"/>
                <w:szCs w:val="18"/>
              </w:rPr>
              <w:t xml:space="preserve">A detection system that can separate ions of different masses based on their behavior in an electromagnetic field. </w:t>
            </w:r>
          </w:p>
        </w:tc>
      </w:tr>
      <w:tr w:rsidR="00E70178" w14:paraId="503765A4" w14:textId="77777777">
        <w:tc>
          <w:tcPr>
            <w:tcW w:w="1380" w:type="dxa"/>
            <w:shd w:val="clear" w:color="auto" w:fill="auto"/>
            <w:tcMar>
              <w:top w:w="100" w:type="dxa"/>
              <w:left w:w="100" w:type="dxa"/>
              <w:bottom w:w="100" w:type="dxa"/>
              <w:right w:w="100" w:type="dxa"/>
            </w:tcMar>
          </w:tcPr>
          <w:p w14:paraId="1BBC2B09"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Carrier</w:t>
            </w:r>
          </w:p>
        </w:tc>
        <w:tc>
          <w:tcPr>
            <w:tcW w:w="7800" w:type="dxa"/>
            <w:shd w:val="clear" w:color="auto" w:fill="auto"/>
            <w:tcMar>
              <w:top w:w="100" w:type="dxa"/>
              <w:left w:w="100" w:type="dxa"/>
              <w:bottom w:w="100" w:type="dxa"/>
              <w:right w:w="100" w:type="dxa"/>
            </w:tcMar>
          </w:tcPr>
          <w:p w14:paraId="1CCBC453"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A rinse solution, which is used to flush the system between samples.</w:t>
            </w:r>
          </w:p>
        </w:tc>
      </w:tr>
      <w:tr w:rsidR="00E70178" w14:paraId="52294FA9" w14:textId="77777777">
        <w:tc>
          <w:tcPr>
            <w:tcW w:w="1380" w:type="dxa"/>
            <w:shd w:val="clear" w:color="auto" w:fill="auto"/>
            <w:tcMar>
              <w:top w:w="100" w:type="dxa"/>
              <w:left w:w="100" w:type="dxa"/>
              <w:bottom w:w="100" w:type="dxa"/>
              <w:right w:w="100" w:type="dxa"/>
            </w:tcMar>
          </w:tcPr>
          <w:p w14:paraId="784314F9"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CCT</w:t>
            </w:r>
          </w:p>
        </w:tc>
        <w:tc>
          <w:tcPr>
            <w:tcW w:w="7800" w:type="dxa"/>
            <w:shd w:val="clear" w:color="auto" w:fill="auto"/>
            <w:tcMar>
              <w:top w:w="100" w:type="dxa"/>
              <w:left w:w="100" w:type="dxa"/>
              <w:bottom w:w="100" w:type="dxa"/>
              <w:right w:w="100" w:type="dxa"/>
            </w:tcMar>
          </w:tcPr>
          <w:p w14:paraId="408890D7"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Collision Cell Technology, which refers to the collision/reaction cell.</w:t>
            </w:r>
          </w:p>
        </w:tc>
      </w:tr>
      <w:tr w:rsidR="00E70178" w14:paraId="333AC3DA" w14:textId="77777777">
        <w:tc>
          <w:tcPr>
            <w:tcW w:w="1380" w:type="dxa"/>
            <w:shd w:val="clear" w:color="auto" w:fill="auto"/>
            <w:tcMar>
              <w:top w:w="100" w:type="dxa"/>
              <w:left w:w="100" w:type="dxa"/>
              <w:bottom w:w="100" w:type="dxa"/>
              <w:right w:w="100" w:type="dxa"/>
            </w:tcMar>
          </w:tcPr>
          <w:p w14:paraId="15E1F225"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CRM</w:t>
            </w:r>
          </w:p>
        </w:tc>
        <w:tc>
          <w:tcPr>
            <w:tcW w:w="7800" w:type="dxa"/>
            <w:shd w:val="clear" w:color="auto" w:fill="auto"/>
            <w:tcMar>
              <w:top w:w="100" w:type="dxa"/>
              <w:left w:w="100" w:type="dxa"/>
              <w:bottom w:w="100" w:type="dxa"/>
              <w:right w:w="100" w:type="dxa"/>
            </w:tcMar>
          </w:tcPr>
          <w:p w14:paraId="18133090"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Certified Reference Material</w:t>
            </w:r>
          </w:p>
        </w:tc>
      </w:tr>
      <w:tr w:rsidR="00E70178" w14:paraId="3C651357" w14:textId="77777777">
        <w:tc>
          <w:tcPr>
            <w:tcW w:w="1380" w:type="dxa"/>
            <w:shd w:val="clear" w:color="auto" w:fill="auto"/>
            <w:tcMar>
              <w:top w:w="100" w:type="dxa"/>
              <w:left w:w="100" w:type="dxa"/>
              <w:bottom w:w="100" w:type="dxa"/>
              <w:right w:w="100" w:type="dxa"/>
            </w:tcMar>
          </w:tcPr>
          <w:p w14:paraId="70785D3B"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IR</w:t>
            </w:r>
          </w:p>
        </w:tc>
        <w:tc>
          <w:tcPr>
            <w:tcW w:w="7800" w:type="dxa"/>
            <w:shd w:val="clear" w:color="auto" w:fill="auto"/>
            <w:tcMar>
              <w:top w:w="100" w:type="dxa"/>
              <w:left w:w="100" w:type="dxa"/>
              <w:bottom w:w="100" w:type="dxa"/>
              <w:right w:w="100" w:type="dxa"/>
            </w:tcMar>
          </w:tcPr>
          <w:p w14:paraId="549D94DF"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Isotope Ratio</w:t>
            </w:r>
          </w:p>
        </w:tc>
      </w:tr>
      <w:tr w:rsidR="00E70178" w14:paraId="447A943F" w14:textId="77777777">
        <w:tc>
          <w:tcPr>
            <w:tcW w:w="1380" w:type="dxa"/>
            <w:shd w:val="clear" w:color="auto" w:fill="auto"/>
            <w:tcMar>
              <w:top w:w="100" w:type="dxa"/>
              <w:left w:w="100" w:type="dxa"/>
              <w:bottom w:w="100" w:type="dxa"/>
              <w:right w:w="100" w:type="dxa"/>
            </w:tcMar>
          </w:tcPr>
          <w:p w14:paraId="0CA3D2C4"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Q-cell</w:t>
            </w:r>
          </w:p>
        </w:tc>
        <w:tc>
          <w:tcPr>
            <w:tcW w:w="7800" w:type="dxa"/>
            <w:shd w:val="clear" w:color="auto" w:fill="auto"/>
            <w:tcMar>
              <w:top w:w="100" w:type="dxa"/>
              <w:left w:w="100" w:type="dxa"/>
              <w:bottom w:w="100" w:type="dxa"/>
              <w:right w:w="100" w:type="dxa"/>
            </w:tcMar>
          </w:tcPr>
          <w:p w14:paraId="03D95ABC"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Collision/reaction cell between the QID and quadrupole detector</w:t>
            </w:r>
          </w:p>
        </w:tc>
      </w:tr>
      <w:tr w:rsidR="00E70178" w14:paraId="497D1B29" w14:textId="77777777">
        <w:tc>
          <w:tcPr>
            <w:tcW w:w="1380" w:type="dxa"/>
            <w:shd w:val="clear" w:color="auto" w:fill="auto"/>
            <w:tcMar>
              <w:top w:w="100" w:type="dxa"/>
              <w:left w:w="100" w:type="dxa"/>
              <w:bottom w:w="100" w:type="dxa"/>
              <w:right w:w="100" w:type="dxa"/>
            </w:tcMar>
          </w:tcPr>
          <w:p w14:paraId="2D960656"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QID</w:t>
            </w:r>
          </w:p>
        </w:tc>
        <w:tc>
          <w:tcPr>
            <w:tcW w:w="7800" w:type="dxa"/>
            <w:shd w:val="clear" w:color="auto" w:fill="auto"/>
            <w:tcMar>
              <w:top w:w="100" w:type="dxa"/>
              <w:left w:w="100" w:type="dxa"/>
              <w:bottom w:w="100" w:type="dxa"/>
              <w:right w:w="100" w:type="dxa"/>
            </w:tcMar>
          </w:tcPr>
          <w:p w14:paraId="6F7DD5B9"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Quadrupole ion deflector. Downstream from the cones.</w:t>
            </w:r>
          </w:p>
        </w:tc>
      </w:tr>
      <w:tr w:rsidR="00E70178" w14:paraId="420D5392" w14:textId="77777777">
        <w:tc>
          <w:tcPr>
            <w:tcW w:w="1380" w:type="dxa"/>
            <w:shd w:val="clear" w:color="auto" w:fill="auto"/>
            <w:tcMar>
              <w:top w:w="100" w:type="dxa"/>
              <w:left w:w="100" w:type="dxa"/>
              <w:bottom w:w="100" w:type="dxa"/>
              <w:right w:w="100" w:type="dxa"/>
            </w:tcMar>
          </w:tcPr>
          <w:p w14:paraId="5F87BE99"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TDS</w:t>
            </w:r>
          </w:p>
        </w:tc>
        <w:tc>
          <w:tcPr>
            <w:tcW w:w="7800" w:type="dxa"/>
            <w:shd w:val="clear" w:color="auto" w:fill="auto"/>
            <w:tcMar>
              <w:top w:w="100" w:type="dxa"/>
              <w:left w:w="100" w:type="dxa"/>
              <w:bottom w:w="100" w:type="dxa"/>
              <w:right w:w="100" w:type="dxa"/>
            </w:tcMar>
          </w:tcPr>
          <w:p w14:paraId="75A7D117"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Total Dissolved Solids</w:t>
            </w:r>
          </w:p>
        </w:tc>
      </w:tr>
      <w:tr w:rsidR="00E70178" w14:paraId="5ED376BA" w14:textId="77777777">
        <w:tc>
          <w:tcPr>
            <w:tcW w:w="1380" w:type="dxa"/>
            <w:shd w:val="clear" w:color="auto" w:fill="auto"/>
            <w:tcMar>
              <w:top w:w="100" w:type="dxa"/>
              <w:left w:w="100" w:type="dxa"/>
              <w:bottom w:w="100" w:type="dxa"/>
              <w:right w:w="100" w:type="dxa"/>
            </w:tcMar>
          </w:tcPr>
          <w:p w14:paraId="144BD764"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Water Quality</w:t>
            </w:r>
          </w:p>
        </w:tc>
        <w:tc>
          <w:tcPr>
            <w:tcW w:w="7800" w:type="dxa"/>
            <w:shd w:val="clear" w:color="auto" w:fill="auto"/>
            <w:tcMar>
              <w:top w:w="100" w:type="dxa"/>
              <w:left w:w="100" w:type="dxa"/>
              <w:bottom w:w="100" w:type="dxa"/>
              <w:right w:w="100" w:type="dxa"/>
            </w:tcMar>
          </w:tcPr>
          <w:p w14:paraId="3C92D884"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DI = Deionized Water = 1-3 MΩ-cm</w:t>
            </w:r>
          </w:p>
          <w:p w14:paraId="68891AD7"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DW = Distilled Water = 1-3 MΩ-cm</w:t>
            </w:r>
          </w:p>
          <w:p w14:paraId="6ED7909B"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 xml:space="preserve">DDI=Distilled and Deionized= </w:t>
            </w:r>
            <w:proofErr w:type="spellStart"/>
            <w:r>
              <w:rPr>
                <w:b/>
                <w:sz w:val="18"/>
                <w:szCs w:val="18"/>
              </w:rPr>
              <w:t>UltraPure</w:t>
            </w:r>
            <w:proofErr w:type="spellEnd"/>
            <w:r>
              <w:rPr>
                <w:b/>
                <w:sz w:val="18"/>
                <w:szCs w:val="18"/>
              </w:rPr>
              <w:t>=</w:t>
            </w:r>
            <w:proofErr w:type="spellStart"/>
            <w:r>
              <w:rPr>
                <w:b/>
                <w:sz w:val="18"/>
                <w:szCs w:val="18"/>
              </w:rPr>
              <w:t>MilliQ</w:t>
            </w:r>
            <w:proofErr w:type="spellEnd"/>
            <w:r>
              <w:rPr>
                <w:b/>
                <w:sz w:val="18"/>
                <w:szCs w:val="18"/>
              </w:rPr>
              <w:t>=18.2 MΩ-cm</w:t>
            </w:r>
          </w:p>
        </w:tc>
      </w:tr>
      <w:tr w:rsidR="00E70178" w14:paraId="0AADB994" w14:textId="77777777">
        <w:trPr>
          <w:trHeight w:val="956"/>
        </w:trPr>
        <w:tc>
          <w:tcPr>
            <w:tcW w:w="1380" w:type="dxa"/>
            <w:shd w:val="clear" w:color="auto" w:fill="auto"/>
            <w:tcMar>
              <w:top w:w="100" w:type="dxa"/>
              <w:left w:w="100" w:type="dxa"/>
              <w:bottom w:w="100" w:type="dxa"/>
              <w:right w:w="100" w:type="dxa"/>
            </w:tcMar>
          </w:tcPr>
          <w:p w14:paraId="717EB77A"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ppm</w:t>
            </w:r>
          </w:p>
        </w:tc>
        <w:tc>
          <w:tcPr>
            <w:tcW w:w="7800" w:type="dxa"/>
            <w:shd w:val="clear" w:color="auto" w:fill="auto"/>
            <w:tcMar>
              <w:top w:w="100" w:type="dxa"/>
              <w:left w:w="100" w:type="dxa"/>
              <w:bottom w:w="100" w:type="dxa"/>
              <w:right w:w="100" w:type="dxa"/>
            </w:tcMar>
          </w:tcPr>
          <w:p w14:paraId="2551B178" w14:textId="77777777" w:rsidR="00E70178" w:rsidRDefault="00000000">
            <w:pPr>
              <w:widowControl w:val="0"/>
              <w:pBdr>
                <w:top w:val="nil"/>
                <w:left w:val="nil"/>
                <w:bottom w:val="nil"/>
                <w:right w:val="nil"/>
                <w:between w:val="nil"/>
              </w:pBdr>
              <w:spacing w:line="360" w:lineRule="auto"/>
              <w:rPr>
                <w:b/>
                <w:sz w:val="18"/>
                <w:szCs w:val="18"/>
              </w:rPr>
            </w:pPr>
            <w:r>
              <w:rPr>
                <w:b/>
                <w:sz w:val="18"/>
                <w:szCs w:val="18"/>
              </w:rPr>
              <w:t>Parts Per Million = 1/1,000,000</w:t>
            </w:r>
          </w:p>
          <w:p w14:paraId="4A11FCAB" w14:textId="77777777" w:rsidR="00E70178" w:rsidRDefault="00000000">
            <w:pPr>
              <w:widowControl w:val="0"/>
              <w:pBdr>
                <w:top w:val="nil"/>
                <w:left w:val="nil"/>
                <w:bottom w:val="nil"/>
                <w:right w:val="nil"/>
                <w:between w:val="nil"/>
              </w:pBdr>
              <w:spacing w:line="360" w:lineRule="auto"/>
              <w:rPr>
                <w:b/>
                <w:sz w:val="18"/>
                <w:szCs w:val="18"/>
              </w:rPr>
            </w:pPr>
            <w:r>
              <w:rPr>
                <w:b/>
                <w:sz w:val="18"/>
                <w:szCs w:val="18"/>
              </w:rPr>
              <w:t>1 ppm = 1 mg/L = 1 ug/mL</w:t>
            </w:r>
          </w:p>
          <w:p w14:paraId="2F170F2D" w14:textId="77777777" w:rsidR="00E70178" w:rsidRDefault="00000000">
            <w:pPr>
              <w:widowControl w:val="0"/>
              <w:pBdr>
                <w:top w:val="nil"/>
                <w:left w:val="nil"/>
                <w:bottom w:val="nil"/>
                <w:right w:val="nil"/>
                <w:between w:val="nil"/>
              </w:pBdr>
              <w:spacing w:line="360" w:lineRule="auto"/>
              <w:rPr>
                <w:b/>
                <w:sz w:val="18"/>
                <w:szCs w:val="18"/>
              </w:rPr>
            </w:pPr>
            <w:r>
              <w:rPr>
                <w:b/>
                <w:sz w:val="18"/>
                <w:szCs w:val="18"/>
              </w:rPr>
              <w:t>1 ppm = 1 ug/g = 1 mg/kg</w:t>
            </w:r>
          </w:p>
          <w:p w14:paraId="22AE1022" w14:textId="77777777" w:rsidR="00E70178" w:rsidRDefault="00000000">
            <w:pPr>
              <w:widowControl w:val="0"/>
              <w:pBdr>
                <w:top w:val="nil"/>
                <w:left w:val="nil"/>
                <w:bottom w:val="nil"/>
                <w:right w:val="nil"/>
                <w:between w:val="nil"/>
              </w:pBdr>
              <w:spacing w:line="360" w:lineRule="auto"/>
              <w:rPr>
                <w:b/>
                <w:sz w:val="18"/>
                <w:szCs w:val="18"/>
              </w:rPr>
            </w:pPr>
            <w:r>
              <w:rPr>
                <w:b/>
                <w:sz w:val="18"/>
                <w:szCs w:val="18"/>
              </w:rPr>
              <w:t>1000 ppm = 1 g/L = 0.1%</w:t>
            </w:r>
          </w:p>
        </w:tc>
      </w:tr>
      <w:tr w:rsidR="00E70178" w14:paraId="4332AA21" w14:textId="77777777">
        <w:tc>
          <w:tcPr>
            <w:tcW w:w="1380" w:type="dxa"/>
            <w:shd w:val="clear" w:color="auto" w:fill="auto"/>
            <w:tcMar>
              <w:top w:w="100" w:type="dxa"/>
              <w:left w:w="100" w:type="dxa"/>
              <w:bottom w:w="100" w:type="dxa"/>
              <w:right w:w="100" w:type="dxa"/>
            </w:tcMar>
          </w:tcPr>
          <w:p w14:paraId="45B51258"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ppb</w:t>
            </w:r>
          </w:p>
        </w:tc>
        <w:tc>
          <w:tcPr>
            <w:tcW w:w="7800" w:type="dxa"/>
            <w:shd w:val="clear" w:color="auto" w:fill="auto"/>
            <w:tcMar>
              <w:top w:w="100" w:type="dxa"/>
              <w:left w:w="100" w:type="dxa"/>
              <w:bottom w:w="100" w:type="dxa"/>
              <w:right w:w="100" w:type="dxa"/>
            </w:tcMar>
          </w:tcPr>
          <w:p w14:paraId="4E8DA0EB" w14:textId="77777777" w:rsidR="00E70178" w:rsidRDefault="00000000">
            <w:pPr>
              <w:widowControl w:val="0"/>
              <w:pBdr>
                <w:top w:val="nil"/>
                <w:left w:val="nil"/>
                <w:bottom w:val="nil"/>
                <w:right w:val="nil"/>
                <w:between w:val="nil"/>
              </w:pBdr>
              <w:spacing w:line="360" w:lineRule="auto"/>
              <w:rPr>
                <w:b/>
                <w:sz w:val="18"/>
                <w:szCs w:val="18"/>
              </w:rPr>
            </w:pPr>
            <w:r>
              <w:rPr>
                <w:b/>
                <w:sz w:val="18"/>
                <w:szCs w:val="18"/>
              </w:rPr>
              <w:t>Parts Per Billion = 1/1,000,000,000</w:t>
            </w:r>
          </w:p>
          <w:p w14:paraId="2A63473E" w14:textId="77777777" w:rsidR="00E70178" w:rsidRDefault="00000000">
            <w:pPr>
              <w:widowControl w:val="0"/>
              <w:pBdr>
                <w:top w:val="nil"/>
                <w:left w:val="nil"/>
                <w:bottom w:val="nil"/>
                <w:right w:val="nil"/>
                <w:between w:val="nil"/>
              </w:pBdr>
              <w:spacing w:line="360" w:lineRule="auto"/>
              <w:rPr>
                <w:b/>
                <w:sz w:val="18"/>
                <w:szCs w:val="18"/>
              </w:rPr>
            </w:pPr>
            <w:r>
              <w:rPr>
                <w:b/>
                <w:sz w:val="18"/>
                <w:szCs w:val="18"/>
              </w:rPr>
              <w:t>1000 ppb = 1 ppm</w:t>
            </w:r>
          </w:p>
          <w:p w14:paraId="3DB0D045" w14:textId="77777777" w:rsidR="00E70178" w:rsidRDefault="00000000">
            <w:pPr>
              <w:widowControl w:val="0"/>
              <w:pBdr>
                <w:top w:val="nil"/>
                <w:left w:val="nil"/>
                <w:bottom w:val="nil"/>
                <w:right w:val="nil"/>
                <w:between w:val="nil"/>
              </w:pBdr>
              <w:spacing w:line="360" w:lineRule="auto"/>
              <w:rPr>
                <w:b/>
                <w:sz w:val="18"/>
                <w:szCs w:val="18"/>
              </w:rPr>
            </w:pPr>
            <w:r>
              <w:rPr>
                <w:b/>
                <w:sz w:val="18"/>
                <w:szCs w:val="18"/>
              </w:rPr>
              <w:t>100 ppb = 0.1 mg/L = 100 ug/L</w:t>
            </w:r>
          </w:p>
        </w:tc>
      </w:tr>
      <w:tr w:rsidR="00E70178" w14:paraId="4179027E" w14:textId="77777777">
        <w:tc>
          <w:tcPr>
            <w:tcW w:w="1380" w:type="dxa"/>
            <w:shd w:val="clear" w:color="auto" w:fill="auto"/>
            <w:tcMar>
              <w:top w:w="100" w:type="dxa"/>
              <w:left w:w="100" w:type="dxa"/>
              <w:bottom w:w="100" w:type="dxa"/>
              <w:right w:w="100" w:type="dxa"/>
            </w:tcMar>
          </w:tcPr>
          <w:p w14:paraId="09B57D46"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lastRenderedPageBreak/>
              <w:t>ppt</w:t>
            </w:r>
          </w:p>
        </w:tc>
        <w:tc>
          <w:tcPr>
            <w:tcW w:w="7800" w:type="dxa"/>
            <w:shd w:val="clear" w:color="auto" w:fill="auto"/>
            <w:tcMar>
              <w:top w:w="100" w:type="dxa"/>
              <w:left w:w="100" w:type="dxa"/>
              <w:bottom w:w="100" w:type="dxa"/>
              <w:right w:w="100" w:type="dxa"/>
            </w:tcMar>
          </w:tcPr>
          <w:p w14:paraId="12938C46"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Parts Per Trillion = 1/1,000,000,000,000</w:t>
            </w:r>
          </w:p>
        </w:tc>
      </w:tr>
      <w:tr w:rsidR="00E70178" w14:paraId="00043FD1" w14:textId="77777777">
        <w:trPr>
          <w:trHeight w:val="510"/>
        </w:trPr>
        <w:tc>
          <w:tcPr>
            <w:tcW w:w="1380" w:type="dxa"/>
            <w:shd w:val="clear" w:color="auto" w:fill="auto"/>
            <w:tcMar>
              <w:top w:w="100" w:type="dxa"/>
              <w:left w:w="100" w:type="dxa"/>
              <w:bottom w:w="100" w:type="dxa"/>
              <w:right w:w="100" w:type="dxa"/>
            </w:tcMar>
          </w:tcPr>
          <w:p w14:paraId="5A6163EE" w14:textId="77777777" w:rsidR="00E70178" w:rsidRDefault="00000000">
            <w:pPr>
              <w:widowControl w:val="0"/>
              <w:pBdr>
                <w:top w:val="nil"/>
                <w:left w:val="nil"/>
                <w:bottom w:val="nil"/>
                <w:right w:val="nil"/>
                <w:between w:val="nil"/>
              </w:pBdr>
              <w:spacing w:line="240" w:lineRule="auto"/>
              <w:jc w:val="center"/>
              <w:rPr>
                <w:b/>
                <w:sz w:val="18"/>
                <w:szCs w:val="18"/>
              </w:rPr>
            </w:pPr>
            <w:r>
              <w:rPr>
                <w:b/>
                <w:sz w:val="18"/>
                <w:szCs w:val="18"/>
              </w:rPr>
              <w:t>%</w:t>
            </w:r>
          </w:p>
        </w:tc>
        <w:tc>
          <w:tcPr>
            <w:tcW w:w="7800" w:type="dxa"/>
            <w:shd w:val="clear" w:color="auto" w:fill="auto"/>
            <w:tcMar>
              <w:top w:w="100" w:type="dxa"/>
              <w:left w:w="100" w:type="dxa"/>
              <w:bottom w:w="100" w:type="dxa"/>
              <w:right w:w="100" w:type="dxa"/>
            </w:tcMar>
          </w:tcPr>
          <w:p w14:paraId="6543783A"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 xml:space="preserve">% = 1/100 </w:t>
            </w:r>
          </w:p>
          <w:p w14:paraId="68682FF2" w14:textId="77777777" w:rsidR="00E70178" w:rsidRDefault="00000000">
            <w:pPr>
              <w:widowControl w:val="0"/>
              <w:pBdr>
                <w:top w:val="nil"/>
                <w:left w:val="nil"/>
                <w:bottom w:val="nil"/>
                <w:right w:val="nil"/>
                <w:between w:val="nil"/>
              </w:pBdr>
              <w:spacing w:line="240" w:lineRule="auto"/>
              <w:rPr>
                <w:b/>
                <w:sz w:val="18"/>
                <w:szCs w:val="18"/>
              </w:rPr>
            </w:pPr>
            <w:r>
              <w:rPr>
                <w:b/>
                <w:sz w:val="18"/>
                <w:szCs w:val="18"/>
              </w:rPr>
              <w:t>1000 ppm = 0.1%</w:t>
            </w:r>
          </w:p>
        </w:tc>
      </w:tr>
    </w:tbl>
    <w:p w14:paraId="3E10F3CB" w14:textId="77777777" w:rsidR="00E70178" w:rsidRDefault="00E70178">
      <w:pPr>
        <w:spacing w:line="360" w:lineRule="auto"/>
        <w:ind w:left="1440"/>
        <w:rPr>
          <w:sz w:val="18"/>
          <w:szCs w:val="18"/>
        </w:rPr>
      </w:pPr>
    </w:p>
    <w:p w14:paraId="2B65756F" w14:textId="77777777" w:rsidR="00E70178" w:rsidRDefault="00000000">
      <w:pPr>
        <w:numPr>
          <w:ilvl w:val="0"/>
          <w:numId w:val="1"/>
        </w:numPr>
        <w:spacing w:line="360" w:lineRule="auto"/>
        <w:rPr>
          <w:b/>
          <w:sz w:val="26"/>
          <w:szCs w:val="26"/>
        </w:rPr>
      </w:pPr>
      <w:r>
        <w:rPr>
          <w:b/>
          <w:sz w:val="26"/>
          <w:szCs w:val="26"/>
        </w:rPr>
        <w:t>Required Materials</w:t>
      </w:r>
    </w:p>
    <w:p w14:paraId="6E56FDFC" w14:textId="77777777" w:rsidR="00E70178" w:rsidRDefault="00000000">
      <w:pPr>
        <w:numPr>
          <w:ilvl w:val="1"/>
          <w:numId w:val="1"/>
        </w:numPr>
        <w:spacing w:line="360" w:lineRule="auto"/>
        <w:rPr>
          <w:b/>
          <w:sz w:val="18"/>
          <w:szCs w:val="18"/>
        </w:rPr>
      </w:pPr>
      <w:r>
        <w:rPr>
          <w:b/>
          <w:sz w:val="18"/>
          <w:szCs w:val="18"/>
        </w:rPr>
        <w:t>Table 1.</w:t>
      </w:r>
    </w:p>
    <w:tbl>
      <w:tblPr>
        <w:tblStyle w:val="a0"/>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1980"/>
        <w:gridCol w:w="1980"/>
        <w:gridCol w:w="1980"/>
      </w:tblGrid>
      <w:tr w:rsidR="00E70178" w14:paraId="420C5D10" w14:textId="77777777">
        <w:tc>
          <w:tcPr>
            <w:tcW w:w="3390" w:type="dxa"/>
            <w:shd w:val="clear" w:color="auto" w:fill="auto"/>
            <w:tcMar>
              <w:top w:w="100" w:type="dxa"/>
              <w:left w:w="100" w:type="dxa"/>
              <w:bottom w:w="100" w:type="dxa"/>
              <w:right w:w="100" w:type="dxa"/>
            </w:tcMar>
          </w:tcPr>
          <w:p w14:paraId="1A5AA482" w14:textId="77777777" w:rsidR="00E70178" w:rsidRDefault="00000000">
            <w:pPr>
              <w:widowControl w:val="0"/>
              <w:pBdr>
                <w:top w:val="nil"/>
                <w:left w:val="nil"/>
                <w:bottom w:val="nil"/>
                <w:right w:val="nil"/>
                <w:between w:val="nil"/>
              </w:pBdr>
              <w:spacing w:line="240" w:lineRule="auto"/>
              <w:jc w:val="center"/>
              <w:rPr>
                <w:b/>
                <w:sz w:val="20"/>
                <w:szCs w:val="20"/>
              </w:rPr>
            </w:pPr>
            <w:r>
              <w:rPr>
                <w:b/>
                <w:sz w:val="20"/>
                <w:szCs w:val="20"/>
              </w:rPr>
              <w:t xml:space="preserve">Item </w:t>
            </w:r>
          </w:p>
        </w:tc>
        <w:tc>
          <w:tcPr>
            <w:tcW w:w="1980" w:type="dxa"/>
            <w:shd w:val="clear" w:color="auto" w:fill="auto"/>
            <w:tcMar>
              <w:top w:w="100" w:type="dxa"/>
              <w:left w:w="100" w:type="dxa"/>
              <w:bottom w:w="100" w:type="dxa"/>
              <w:right w:w="100" w:type="dxa"/>
            </w:tcMar>
          </w:tcPr>
          <w:p w14:paraId="2265E1BA" w14:textId="77777777" w:rsidR="00E70178" w:rsidRDefault="00000000">
            <w:pPr>
              <w:widowControl w:val="0"/>
              <w:pBdr>
                <w:top w:val="nil"/>
                <w:left w:val="nil"/>
                <w:bottom w:val="nil"/>
                <w:right w:val="nil"/>
                <w:between w:val="nil"/>
              </w:pBdr>
              <w:spacing w:line="240" w:lineRule="auto"/>
              <w:jc w:val="center"/>
              <w:rPr>
                <w:b/>
                <w:sz w:val="20"/>
                <w:szCs w:val="20"/>
              </w:rPr>
            </w:pPr>
            <w:r>
              <w:rPr>
                <w:b/>
                <w:sz w:val="20"/>
                <w:szCs w:val="20"/>
              </w:rPr>
              <w:t>Vendor</w:t>
            </w:r>
          </w:p>
        </w:tc>
        <w:tc>
          <w:tcPr>
            <w:tcW w:w="1980" w:type="dxa"/>
            <w:shd w:val="clear" w:color="auto" w:fill="auto"/>
            <w:tcMar>
              <w:top w:w="100" w:type="dxa"/>
              <w:left w:w="100" w:type="dxa"/>
              <w:bottom w:w="100" w:type="dxa"/>
              <w:right w:w="100" w:type="dxa"/>
            </w:tcMar>
          </w:tcPr>
          <w:p w14:paraId="39914F86" w14:textId="77777777" w:rsidR="00E70178" w:rsidRDefault="00000000">
            <w:pPr>
              <w:widowControl w:val="0"/>
              <w:pBdr>
                <w:top w:val="nil"/>
                <w:left w:val="nil"/>
                <w:bottom w:val="nil"/>
                <w:right w:val="nil"/>
                <w:between w:val="nil"/>
              </w:pBdr>
              <w:spacing w:line="240" w:lineRule="auto"/>
              <w:jc w:val="center"/>
              <w:rPr>
                <w:b/>
                <w:sz w:val="20"/>
                <w:szCs w:val="20"/>
              </w:rPr>
            </w:pPr>
            <w:r>
              <w:rPr>
                <w:b/>
                <w:sz w:val="20"/>
                <w:szCs w:val="20"/>
              </w:rPr>
              <w:t>Catalog #</w:t>
            </w:r>
          </w:p>
        </w:tc>
        <w:tc>
          <w:tcPr>
            <w:tcW w:w="1980" w:type="dxa"/>
            <w:shd w:val="clear" w:color="auto" w:fill="auto"/>
            <w:tcMar>
              <w:top w:w="100" w:type="dxa"/>
              <w:left w:w="100" w:type="dxa"/>
              <w:bottom w:w="100" w:type="dxa"/>
              <w:right w:w="100" w:type="dxa"/>
            </w:tcMar>
          </w:tcPr>
          <w:p w14:paraId="16A48EF0" w14:textId="77777777" w:rsidR="00E70178" w:rsidRDefault="00000000">
            <w:pPr>
              <w:widowControl w:val="0"/>
              <w:pBdr>
                <w:top w:val="nil"/>
                <w:left w:val="nil"/>
                <w:bottom w:val="nil"/>
                <w:right w:val="nil"/>
                <w:between w:val="nil"/>
              </w:pBdr>
              <w:spacing w:line="240" w:lineRule="auto"/>
              <w:jc w:val="center"/>
              <w:rPr>
                <w:b/>
                <w:sz w:val="20"/>
                <w:szCs w:val="20"/>
              </w:rPr>
            </w:pPr>
            <w:r>
              <w:rPr>
                <w:b/>
                <w:sz w:val="20"/>
                <w:szCs w:val="20"/>
              </w:rPr>
              <w:t>Cost</w:t>
            </w:r>
          </w:p>
        </w:tc>
      </w:tr>
      <w:tr w:rsidR="00E70178" w14:paraId="4F21B7EE" w14:textId="77777777">
        <w:tc>
          <w:tcPr>
            <w:tcW w:w="3390" w:type="dxa"/>
            <w:shd w:val="clear" w:color="auto" w:fill="auto"/>
            <w:tcMar>
              <w:top w:w="100" w:type="dxa"/>
              <w:left w:w="100" w:type="dxa"/>
              <w:bottom w:w="100" w:type="dxa"/>
              <w:right w:w="100" w:type="dxa"/>
            </w:tcMar>
          </w:tcPr>
          <w:p w14:paraId="6F5AFA6A"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Argon</w:t>
            </w:r>
          </w:p>
        </w:tc>
        <w:tc>
          <w:tcPr>
            <w:tcW w:w="1980" w:type="dxa"/>
            <w:shd w:val="clear" w:color="auto" w:fill="auto"/>
            <w:tcMar>
              <w:top w:w="100" w:type="dxa"/>
              <w:left w:w="100" w:type="dxa"/>
              <w:bottom w:w="100" w:type="dxa"/>
              <w:right w:w="100" w:type="dxa"/>
            </w:tcMar>
          </w:tcPr>
          <w:p w14:paraId="104598EA"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Praxair or Airgas</w:t>
            </w:r>
          </w:p>
        </w:tc>
        <w:tc>
          <w:tcPr>
            <w:tcW w:w="1980" w:type="dxa"/>
            <w:shd w:val="clear" w:color="auto" w:fill="auto"/>
            <w:tcMar>
              <w:top w:w="100" w:type="dxa"/>
              <w:left w:w="100" w:type="dxa"/>
              <w:bottom w:w="100" w:type="dxa"/>
              <w:right w:w="100" w:type="dxa"/>
            </w:tcMar>
          </w:tcPr>
          <w:p w14:paraId="59080BC5"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24B85857"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$400</w:t>
            </w:r>
          </w:p>
        </w:tc>
      </w:tr>
      <w:tr w:rsidR="00E70178" w14:paraId="08FFF3F8" w14:textId="77777777">
        <w:tc>
          <w:tcPr>
            <w:tcW w:w="3390" w:type="dxa"/>
            <w:shd w:val="clear" w:color="auto" w:fill="auto"/>
            <w:tcMar>
              <w:top w:w="100" w:type="dxa"/>
              <w:left w:w="100" w:type="dxa"/>
              <w:bottom w:w="100" w:type="dxa"/>
              <w:right w:w="100" w:type="dxa"/>
            </w:tcMar>
          </w:tcPr>
          <w:p w14:paraId="5B99F363"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Trace Metal Grade Nitric Acid</w:t>
            </w:r>
          </w:p>
        </w:tc>
        <w:tc>
          <w:tcPr>
            <w:tcW w:w="1980" w:type="dxa"/>
            <w:shd w:val="clear" w:color="auto" w:fill="auto"/>
            <w:tcMar>
              <w:top w:w="100" w:type="dxa"/>
              <w:left w:w="100" w:type="dxa"/>
              <w:bottom w:w="100" w:type="dxa"/>
              <w:right w:w="100" w:type="dxa"/>
            </w:tcMar>
          </w:tcPr>
          <w:p w14:paraId="3C1AF335"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Fisher Scientific</w:t>
            </w:r>
          </w:p>
        </w:tc>
        <w:tc>
          <w:tcPr>
            <w:tcW w:w="1980" w:type="dxa"/>
            <w:shd w:val="clear" w:color="auto" w:fill="auto"/>
            <w:tcMar>
              <w:top w:w="100" w:type="dxa"/>
              <w:left w:w="100" w:type="dxa"/>
              <w:bottom w:w="100" w:type="dxa"/>
              <w:right w:w="100" w:type="dxa"/>
            </w:tcMar>
          </w:tcPr>
          <w:p w14:paraId="70F114B6"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6BB48FDD" w14:textId="77777777" w:rsidR="00E70178" w:rsidRDefault="00E70178">
            <w:pPr>
              <w:widowControl w:val="0"/>
              <w:pBdr>
                <w:top w:val="nil"/>
                <w:left w:val="nil"/>
                <w:bottom w:val="nil"/>
                <w:right w:val="nil"/>
                <w:between w:val="nil"/>
              </w:pBdr>
              <w:spacing w:line="240" w:lineRule="auto"/>
              <w:jc w:val="center"/>
              <w:rPr>
                <w:b/>
                <w:sz w:val="16"/>
                <w:szCs w:val="16"/>
              </w:rPr>
            </w:pPr>
          </w:p>
        </w:tc>
      </w:tr>
      <w:tr w:rsidR="00E70178" w14:paraId="7877CFF5" w14:textId="77777777">
        <w:tc>
          <w:tcPr>
            <w:tcW w:w="3390" w:type="dxa"/>
            <w:shd w:val="clear" w:color="auto" w:fill="auto"/>
            <w:tcMar>
              <w:top w:w="100" w:type="dxa"/>
              <w:left w:w="100" w:type="dxa"/>
              <w:bottom w:w="100" w:type="dxa"/>
              <w:right w:w="100" w:type="dxa"/>
            </w:tcMar>
          </w:tcPr>
          <w:p w14:paraId="5E3F2D1C" w14:textId="77777777" w:rsidR="00E70178" w:rsidRDefault="00000000">
            <w:pPr>
              <w:widowControl w:val="0"/>
              <w:pBdr>
                <w:top w:val="nil"/>
                <w:left w:val="nil"/>
                <w:bottom w:val="nil"/>
                <w:right w:val="nil"/>
                <w:between w:val="nil"/>
              </w:pBdr>
              <w:spacing w:line="240" w:lineRule="auto"/>
              <w:jc w:val="center"/>
              <w:rPr>
                <w:b/>
                <w:sz w:val="16"/>
                <w:szCs w:val="16"/>
              </w:rPr>
            </w:pPr>
            <w:proofErr w:type="spellStart"/>
            <w:r>
              <w:rPr>
                <w:b/>
                <w:sz w:val="16"/>
                <w:szCs w:val="16"/>
              </w:rPr>
              <w:t>iCAP</w:t>
            </w:r>
            <w:proofErr w:type="spellEnd"/>
            <w:r>
              <w:rPr>
                <w:b/>
                <w:sz w:val="16"/>
                <w:szCs w:val="16"/>
              </w:rPr>
              <w:t xml:space="preserve"> RQ Tune Solution</w:t>
            </w:r>
          </w:p>
        </w:tc>
        <w:tc>
          <w:tcPr>
            <w:tcW w:w="1980" w:type="dxa"/>
            <w:shd w:val="clear" w:color="auto" w:fill="auto"/>
            <w:tcMar>
              <w:top w:w="100" w:type="dxa"/>
              <w:left w:w="100" w:type="dxa"/>
              <w:bottom w:w="100" w:type="dxa"/>
              <w:right w:w="100" w:type="dxa"/>
            </w:tcMar>
          </w:tcPr>
          <w:p w14:paraId="38B277F8" w14:textId="77777777" w:rsidR="00E70178" w:rsidRDefault="00000000">
            <w:pPr>
              <w:widowControl w:val="0"/>
              <w:pBdr>
                <w:top w:val="nil"/>
                <w:left w:val="nil"/>
                <w:bottom w:val="nil"/>
                <w:right w:val="nil"/>
                <w:between w:val="nil"/>
              </w:pBdr>
              <w:spacing w:line="240" w:lineRule="auto"/>
              <w:jc w:val="center"/>
              <w:rPr>
                <w:b/>
                <w:sz w:val="16"/>
                <w:szCs w:val="16"/>
              </w:rPr>
            </w:pPr>
            <w:proofErr w:type="spellStart"/>
            <w:r>
              <w:rPr>
                <w:b/>
                <w:sz w:val="16"/>
                <w:szCs w:val="16"/>
              </w:rPr>
              <w:t>Thermo</w:t>
            </w:r>
            <w:proofErr w:type="spellEnd"/>
            <w:r>
              <w:rPr>
                <w:b/>
                <w:sz w:val="16"/>
                <w:szCs w:val="16"/>
              </w:rPr>
              <w:t xml:space="preserve"> Scientific or Inorganic Venture</w:t>
            </w:r>
          </w:p>
        </w:tc>
        <w:tc>
          <w:tcPr>
            <w:tcW w:w="1980" w:type="dxa"/>
            <w:shd w:val="clear" w:color="auto" w:fill="auto"/>
            <w:tcMar>
              <w:top w:w="100" w:type="dxa"/>
              <w:left w:w="100" w:type="dxa"/>
              <w:bottom w:w="100" w:type="dxa"/>
              <w:right w:w="100" w:type="dxa"/>
            </w:tcMar>
          </w:tcPr>
          <w:p w14:paraId="31B1350B"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764CB990"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$300</w:t>
            </w:r>
          </w:p>
        </w:tc>
      </w:tr>
      <w:tr w:rsidR="00E70178" w14:paraId="4CD49DB2" w14:textId="77777777">
        <w:tc>
          <w:tcPr>
            <w:tcW w:w="3390" w:type="dxa"/>
            <w:shd w:val="clear" w:color="auto" w:fill="auto"/>
            <w:tcMar>
              <w:top w:w="100" w:type="dxa"/>
              <w:left w:w="100" w:type="dxa"/>
              <w:bottom w:w="100" w:type="dxa"/>
              <w:right w:w="100" w:type="dxa"/>
            </w:tcMar>
          </w:tcPr>
          <w:p w14:paraId="2771D394" w14:textId="77777777" w:rsidR="00E70178" w:rsidRDefault="00000000">
            <w:pPr>
              <w:widowControl w:val="0"/>
              <w:pBdr>
                <w:top w:val="nil"/>
                <w:left w:val="nil"/>
                <w:bottom w:val="nil"/>
                <w:right w:val="nil"/>
                <w:between w:val="nil"/>
              </w:pBdr>
              <w:spacing w:line="240" w:lineRule="auto"/>
              <w:jc w:val="center"/>
              <w:rPr>
                <w:b/>
                <w:sz w:val="16"/>
                <w:szCs w:val="16"/>
              </w:rPr>
            </w:pPr>
            <w:proofErr w:type="spellStart"/>
            <w:r>
              <w:rPr>
                <w:b/>
                <w:sz w:val="16"/>
                <w:szCs w:val="16"/>
              </w:rPr>
              <w:t>iCAP</w:t>
            </w:r>
            <w:proofErr w:type="spellEnd"/>
            <w:r>
              <w:rPr>
                <w:b/>
                <w:sz w:val="16"/>
                <w:szCs w:val="16"/>
              </w:rPr>
              <w:t xml:space="preserve"> RQ Calibration Solution</w:t>
            </w:r>
          </w:p>
        </w:tc>
        <w:tc>
          <w:tcPr>
            <w:tcW w:w="1980" w:type="dxa"/>
            <w:shd w:val="clear" w:color="auto" w:fill="auto"/>
            <w:tcMar>
              <w:top w:w="100" w:type="dxa"/>
              <w:left w:w="100" w:type="dxa"/>
              <w:bottom w:w="100" w:type="dxa"/>
              <w:right w:w="100" w:type="dxa"/>
            </w:tcMar>
          </w:tcPr>
          <w:p w14:paraId="54CEAC0E" w14:textId="77777777" w:rsidR="00E70178" w:rsidRDefault="00000000">
            <w:pPr>
              <w:widowControl w:val="0"/>
              <w:spacing w:line="240" w:lineRule="auto"/>
              <w:jc w:val="center"/>
              <w:rPr>
                <w:b/>
                <w:sz w:val="16"/>
                <w:szCs w:val="16"/>
              </w:rPr>
            </w:pPr>
            <w:proofErr w:type="spellStart"/>
            <w:r>
              <w:rPr>
                <w:b/>
                <w:sz w:val="16"/>
                <w:szCs w:val="16"/>
              </w:rPr>
              <w:t>Thermo</w:t>
            </w:r>
            <w:proofErr w:type="spellEnd"/>
            <w:r>
              <w:rPr>
                <w:b/>
                <w:sz w:val="16"/>
                <w:szCs w:val="16"/>
              </w:rPr>
              <w:t xml:space="preserve"> Scientific or Inorganic Venture</w:t>
            </w:r>
          </w:p>
        </w:tc>
        <w:tc>
          <w:tcPr>
            <w:tcW w:w="1980" w:type="dxa"/>
            <w:shd w:val="clear" w:color="auto" w:fill="auto"/>
            <w:tcMar>
              <w:top w:w="100" w:type="dxa"/>
              <w:left w:w="100" w:type="dxa"/>
              <w:bottom w:w="100" w:type="dxa"/>
              <w:right w:w="100" w:type="dxa"/>
            </w:tcMar>
          </w:tcPr>
          <w:p w14:paraId="17AB8661"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2A4F034B" w14:textId="77777777" w:rsidR="00E70178" w:rsidRDefault="00000000">
            <w:pPr>
              <w:widowControl w:val="0"/>
              <w:spacing w:line="240" w:lineRule="auto"/>
              <w:jc w:val="center"/>
              <w:rPr>
                <w:b/>
                <w:sz w:val="16"/>
                <w:szCs w:val="16"/>
              </w:rPr>
            </w:pPr>
            <w:r>
              <w:rPr>
                <w:b/>
                <w:sz w:val="16"/>
                <w:szCs w:val="16"/>
              </w:rPr>
              <w:t>$300</w:t>
            </w:r>
          </w:p>
          <w:p w14:paraId="343E15BC" w14:textId="77777777" w:rsidR="00E70178" w:rsidRDefault="00E70178">
            <w:pPr>
              <w:widowControl w:val="0"/>
              <w:pBdr>
                <w:top w:val="nil"/>
                <w:left w:val="nil"/>
                <w:bottom w:val="nil"/>
                <w:right w:val="nil"/>
                <w:between w:val="nil"/>
              </w:pBdr>
              <w:spacing w:line="240" w:lineRule="auto"/>
              <w:jc w:val="center"/>
              <w:rPr>
                <w:b/>
                <w:sz w:val="16"/>
                <w:szCs w:val="16"/>
              </w:rPr>
            </w:pPr>
          </w:p>
        </w:tc>
      </w:tr>
      <w:tr w:rsidR="00E70178" w14:paraId="036D7633" w14:textId="77777777">
        <w:tc>
          <w:tcPr>
            <w:tcW w:w="3390" w:type="dxa"/>
            <w:shd w:val="clear" w:color="auto" w:fill="auto"/>
            <w:tcMar>
              <w:top w:w="100" w:type="dxa"/>
              <w:left w:w="100" w:type="dxa"/>
              <w:bottom w:w="100" w:type="dxa"/>
              <w:right w:w="100" w:type="dxa"/>
            </w:tcMar>
          </w:tcPr>
          <w:p w14:paraId="13B28BAF"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0.2µm Syringe Filter</w:t>
            </w:r>
          </w:p>
        </w:tc>
        <w:tc>
          <w:tcPr>
            <w:tcW w:w="1980" w:type="dxa"/>
            <w:shd w:val="clear" w:color="auto" w:fill="auto"/>
            <w:tcMar>
              <w:top w:w="100" w:type="dxa"/>
              <w:left w:w="100" w:type="dxa"/>
              <w:bottom w:w="100" w:type="dxa"/>
              <w:right w:w="100" w:type="dxa"/>
            </w:tcMar>
          </w:tcPr>
          <w:p w14:paraId="43A58021"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3F315DBC"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63E5D6C7" w14:textId="77777777" w:rsidR="00E70178" w:rsidRDefault="00E70178">
            <w:pPr>
              <w:widowControl w:val="0"/>
              <w:pBdr>
                <w:top w:val="nil"/>
                <w:left w:val="nil"/>
                <w:bottom w:val="nil"/>
                <w:right w:val="nil"/>
                <w:between w:val="nil"/>
              </w:pBdr>
              <w:spacing w:line="240" w:lineRule="auto"/>
              <w:jc w:val="center"/>
              <w:rPr>
                <w:b/>
                <w:sz w:val="16"/>
                <w:szCs w:val="16"/>
              </w:rPr>
            </w:pPr>
          </w:p>
        </w:tc>
      </w:tr>
      <w:tr w:rsidR="00E70178" w14:paraId="3104596A" w14:textId="77777777">
        <w:trPr>
          <w:trHeight w:val="378"/>
        </w:trPr>
        <w:tc>
          <w:tcPr>
            <w:tcW w:w="3390" w:type="dxa"/>
            <w:shd w:val="clear" w:color="auto" w:fill="auto"/>
            <w:tcMar>
              <w:top w:w="100" w:type="dxa"/>
              <w:left w:w="100" w:type="dxa"/>
              <w:bottom w:w="100" w:type="dxa"/>
              <w:right w:w="100" w:type="dxa"/>
            </w:tcMar>
          </w:tcPr>
          <w:p w14:paraId="195C3734"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Syringe</w:t>
            </w:r>
          </w:p>
        </w:tc>
        <w:tc>
          <w:tcPr>
            <w:tcW w:w="1980" w:type="dxa"/>
            <w:shd w:val="clear" w:color="auto" w:fill="auto"/>
            <w:tcMar>
              <w:top w:w="100" w:type="dxa"/>
              <w:left w:w="100" w:type="dxa"/>
              <w:bottom w:w="100" w:type="dxa"/>
              <w:right w:w="100" w:type="dxa"/>
            </w:tcMar>
          </w:tcPr>
          <w:p w14:paraId="01BE93F8"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073F4EEA"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22C314DE" w14:textId="77777777" w:rsidR="00E70178" w:rsidRDefault="00E70178">
            <w:pPr>
              <w:widowControl w:val="0"/>
              <w:pBdr>
                <w:top w:val="nil"/>
                <w:left w:val="nil"/>
                <w:bottom w:val="nil"/>
                <w:right w:val="nil"/>
                <w:between w:val="nil"/>
              </w:pBdr>
              <w:spacing w:line="240" w:lineRule="auto"/>
              <w:jc w:val="center"/>
              <w:rPr>
                <w:b/>
                <w:sz w:val="16"/>
                <w:szCs w:val="16"/>
              </w:rPr>
            </w:pPr>
          </w:p>
        </w:tc>
      </w:tr>
      <w:tr w:rsidR="00E70178" w14:paraId="242531AC" w14:textId="77777777">
        <w:tc>
          <w:tcPr>
            <w:tcW w:w="3390" w:type="dxa"/>
            <w:shd w:val="clear" w:color="auto" w:fill="auto"/>
            <w:tcMar>
              <w:top w:w="100" w:type="dxa"/>
              <w:left w:w="100" w:type="dxa"/>
              <w:bottom w:w="100" w:type="dxa"/>
              <w:right w:w="100" w:type="dxa"/>
            </w:tcMar>
          </w:tcPr>
          <w:p w14:paraId="0EE6FAC2"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Acid-Washed 15mL Conical Tube</w:t>
            </w:r>
          </w:p>
        </w:tc>
        <w:tc>
          <w:tcPr>
            <w:tcW w:w="1980" w:type="dxa"/>
            <w:shd w:val="clear" w:color="auto" w:fill="auto"/>
            <w:tcMar>
              <w:top w:w="100" w:type="dxa"/>
              <w:left w:w="100" w:type="dxa"/>
              <w:bottom w:w="100" w:type="dxa"/>
              <w:right w:w="100" w:type="dxa"/>
            </w:tcMar>
          </w:tcPr>
          <w:p w14:paraId="4E2EABFF"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Various</w:t>
            </w:r>
          </w:p>
        </w:tc>
        <w:tc>
          <w:tcPr>
            <w:tcW w:w="1980" w:type="dxa"/>
            <w:shd w:val="clear" w:color="auto" w:fill="auto"/>
            <w:tcMar>
              <w:top w:w="100" w:type="dxa"/>
              <w:left w:w="100" w:type="dxa"/>
              <w:bottom w:w="100" w:type="dxa"/>
              <w:right w:w="100" w:type="dxa"/>
            </w:tcMar>
          </w:tcPr>
          <w:p w14:paraId="6F892AB7"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7C38A52A" w14:textId="77777777" w:rsidR="00E70178" w:rsidRDefault="00E70178">
            <w:pPr>
              <w:widowControl w:val="0"/>
              <w:pBdr>
                <w:top w:val="nil"/>
                <w:left w:val="nil"/>
                <w:bottom w:val="nil"/>
                <w:right w:val="nil"/>
                <w:between w:val="nil"/>
              </w:pBdr>
              <w:spacing w:line="240" w:lineRule="auto"/>
              <w:jc w:val="center"/>
              <w:rPr>
                <w:b/>
                <w:sz w:val="16"/>
                <w:szCs w:val="16"/>
              </w:rPr>
            </w:pPr>
          </w:p>
        </w:tc>
      </w:tr>
      <w:tr w:rsidR="00E70178" w14:paraId="078ACB18" w14:textId="77777777">
        <w:tc>
          <w:tcPr>
            <w:tcW w:w="3390" w:type="dxa"/>
            <w:shd w:val="clear" w:color="auto" w:fill="auto"/>
            <w:tcMar>
              <w:top w:w="100" w:type="dxa"/>
              <w:left w:w="100" w:type="dxa"/>
              <w:bottom w:w="100" w:type="dxa"/>
              <w:right w:w="100" w:type="dxa"/>
            </w:tcMar>
          </w:tcPr>
          <w:p w14:paraId="41EF5F3D"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Acid-Washed 50mL Conical Tube</w:t>
            </w:r>
          </w:p>
        </w:tc>
        <w:tc>
          <w:tcPr>
            <w:tcW w:w="1980" w:type="dxa"/>
            <w:shd w:val="clear" w:color="auto" w:fill="auto"/>
            <w:tcMar>
              <w:top w:w="100" w:type="dxa"/>
              <w:left w:w="100" w:type="dxa"/>
              <w:bottom w:w="100" w:type="dxa"/>
              <w:right w:w="100" w:type="dxa"/>
            </w:tcMar>
          </w:tcPr>
          <w:p w14:paraId="17257324" w14:textId="77777777" w:rsidR="00E70178" w:rsidRDefault="00000000">
            <w:pPr>
              <w:widowControl w:val="0"/>
              <w:spacing w:line="240" w:lineRule="auto"/>
              <w:jc w:val="center"/>
              <w:rPr>
                <w:b/>
                <w:sz w:val="16"/>
                <w:szCs w:val="16"/>
              </w:rPr>
            </w:pPr>
            <w:r>
              <w:rPr>
                <w:b/>
                <w:sz w:val="16"/>
                <w:szCs w:val="16"/>
              </w:rPr>
              <w:t>Various</w:t>
            </w:r>
          </w:p>
        </w:tc>
        <w:tc>
          <w:tcPr>
            <w:tcW w:w="1980" w:type="dxa"/>
            <w:shd w:val="clear" w:color="auto" w:fill="auto"/>
            <w:tcMar>
              <w:top w:w="100" w:type="dxa"/>
              <w:left w:w="100" w:type="dxa"/>
              <w:bottom w:w="100" w:type="dxa"/>
              <w:right w:w="100" w:type="dxa"/>
            </w:tcMar>
          </w:tcPr>
          <w:p w14:paraId="12BEE69A"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40A1501A" w14:textId="77777777" w:rsidR="00E70178" w:rsidRDefault="00E70178">
            <w:pPr>
              <w:widowControl w:val="0"/>
              <w:pBdr>
                <w:top w:val="nil"/>
                <w:left w:val="nil"/>
                <w:bottom w:val="nil"/>
                <w:right w:val="nil"/>
                <w:between w:val="nil"/>
              </w:pBdr>
              <w:spacing w:line="240" w:lineRule="auto"/>
              <w:jc w:val="center"/>
              <w:rPr>
                <w:b/>
                <w:sz w:val="16"/>
                <w:szCs w:val="16"/>
              </w:rPr>
            </w:pPr>
          </w:p>
        </w:tc>
      </w:tr>
      <w:tr w:rsidR="00E70178" w14:paraId="4D9D3EB7" w14:textId="77777777">
        <w:tc>
          <w:tcPr>
            <w:tcW w:w="3390" w:type="dxa"/>
            <w:shd w:val="clear" w:color="auto" w:fill="auto"/>
            <w:tcMar>
              <w:top w:w="100" w:type="dxa"/>
              <w:left w:w="100" w:type="dxa"/>
              <w:bottom w:w="100" w:type="dxa"/>
              <w:right w:w="100" w:type="dxa"/>
            </w:tcMar>
          </w:tcPr>
          <w:p w14:paraId="729DFC6E" w14:textId="77777777" w:rsidR="00E70178" w:rsidRDefault="00000000">
            <w:pPr>
              <w:widowControl w:val="0"/>
              <w:pBdr>
                <w:top w:val="nil"/>
                <w:left w:val="nil"/>
                <w:bottom w:val="nil"/>
                <w:right w:val="nil"/>
                <w:between w:val="nil"/>
              </w:pBdr>
              <w:spacing w:line="240" w:lineRule="auto"/>
              <w:jc w:val="center"/>
              <w:rPr>
                <w:b/>
                <w:sz w:val="16"/>
                <w:szCs w:val="16"/>
              </w:rPr>
            </w:pPr>
            <w:proofErr w:type="spellStart"/>
            <w:r>
              <w:rPr>
                <w:b/>
                <w:sz w:val="16"/>
                <w:szCs w:val="16"/>
              </w:rPr>
              <w:t>UltraPure</w:t>
            </w:r>
            <w:proofErr w:type="spellEnd"/>
            <w:r>
              <w:rPr>
                <w:b/>
                <w:sz w:val="16"/>
                <w:szCs w:val="16"/>
              </w:rPr>
              <w:t xml:space="preserve"> Water (18.2 MΩ)</w:t>
            </w:r>
          </w:p>
        </w:tc>
        <w:tc>
          <w:tcPr>
            <w:tcW w:w="1980" w:type="dxa"/>
            <w:shd w:val="clear" w:color="auto" w:fill="auto"/>
            <w:tcMar>
              <w:top w:w="100" w:type="dxa"/>
              <w:left w:w="100" w:type="dxa"/>
              <w:bottom w:w="100" w:type="dxa"/>
              <w:right w:w="100" w:type="dxa"/>
            </w:tcMar>
          </w:tcPr>
          <w:p w14:paraId="31EA0850" w14:textId="77777777" w:rsidR="00E70178" w:rsidRDefault="00000000">
            <w:pPr>
              <w:widowControl w:val="0"/>
              <w:spacing w:line="240" w:lineRule="auto"/>
              <w:jc w:val="center"/>
              <w:rPr>
                <w:b/>
                <w:sz w:val="16"/>
                <w:szCs w:val="16"/>
              </w:rPr>
            </w:pPr>
            <w:r>
              <w:rPr>
                <w:b/>
                <w:sz w:val="16"/>
                <w:szCs w:val="16"/>
              </w:rPr>
              <w:t>In-House</w:t>
            </w:r>
          </w:p>
        </w:tc>
        <w:tc>
          <w:tcPr>
            <w:tcW w:w="1980" w:type="dxa"/>
            <w:shd w:val="clear" w:color="auto" w:fill="auto"/>
            <w:tcMar>
              <w:top w:w="100" w:type="dxa"/>
              <w:left w:w="100" w:type="dxa"/>
              <w:bottom w:w="100" w:type="dxa"/>
              <w:right w:w="100" w:type="dxa"/>
            </w:tcMar>
          </w:tcPr>
          <w:p w14:paraId="7A4DC4BE"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N/A</w:t>
            </w:r>
          </w:p>
        </w:tc>
        <w:tc>
          <w:tcPr>
            <w:tcW w:w="1980" w:type="dxa"/>
            <w:shd w:val="clear" w:color="auto" w:fill="auto"/>
            <w:tcMar>
              <w:top w:w="100" w:type="dxa"/>
              <w:left w:w="100" w:type="dxa"/>
              <w:bottom w:w="100" w:type="dxa"/>
              <w:right w:w="100" w:type="dxa"/>
            </w:tcMar>
          </w:tcPr>
          <w:p w14:paraId="1481AB81"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N/A</w:t>
            </w:r>
          </w:p>
        </w:tc>
      </w:tr>
      <w:tr w:rsidR="00E70178" w14:paraId="3180CF5C" w14:textId="77777777">
        <w:tc>
          <w:tcPr>
            <w:tcW w:w="3390" w:type="dxa"/>
            <w:shd w:val="clear" w:color="auto" w:fill="auto"/>
            <w:tcMar>
              <w:top w:w="100" w:type="dxa"/>
              <w:left w:w="100" w:type="dxa"/>
              <w:bottom w:w="100" w:type="dxa"/>
              <w:right w:w="100" w:type="dxa"/>
            </w:tcMar>
          </w:tcPr>
          <w:p w14:paraId="247BDDEE" w14:textId="77777777" w:rsidR="00E70178" w:rsidRDefault="00000000">
            <w:pPr>
              <w:widowControl w:val="0"/>
              <w:pBdr>
                <w:top w:val="nil"/>
                <w:left w:val="nil"/>
                <w:bottom w:val="nil"/>
                <w:right w:val="nil"/>
                <w:between w:val="nil"/>
              </w:pBdr>
              <w:spacing w:line="240" w:lineRule="auto"/>
              <w:jc w:val="center"/>
              <w:rPr>
                <w:b/>
                <w:sz w:val="16"/>
                <w:szCs w:val="16"/>
              </w:rPr>
            </w:pPr>
            <w:r>
              <w:rPr>
                <w:b/>
                <w:sz w:val="16"/>
                <w:szCs w:val="16"/>
              </w:rPr>
              <w:t>Elemental Standards (Multi-Element)</w:t>
            </w:r>
          </w:p>
        </w:tc>
        <w:tc>
          <w:tcPr>
            <w:tcW w:w="1980" w:type="dxa"/>
            <w:shd w:val="clear" w:color="auto" w:fill="auto"/>
            <w:tcMar>
              <w:top w:w="100" w:type="dxa"/>
              <w:left w:w="100" w:type="dxa"/>
              <w:bottom w:w="100" w:type="dxa"/>
              <w:right w:w="100" w:type="dxa"/>
            </w:tcMar>
          </w:tcPr>
          <w:p w14:paraId="3EFDB912" w14:textId="77777777" w:rsidR="00E70178" w:rsidRDefault="00000000">
            <w:pPr>
              <w:widowControl w:val="0"/>
              <w:spacing w:line="240" w:lineRule="auto"/>
              <w:jc w:val="center"/>
              <w:rPr>
                <w:b/>
                <w:sz w:val="16"/>
                <w:szCs w:val="16"/>
              </w:rPr>
            </w:pPr>
            <w:r>
              <w:rPr>
                <w:b/>
                <w:sz w:val="16"/>
                <w:szCs w:val="16"/>
              </w:rPr>
              <w:t>Inorganic Ventures?</w:t>
            </w:r>
          </w:p>
        </w:tc>
        <w:tc>
          <w:tcPr>
            <w:tcW w:w="1980" w:type="dxa"/>
            <w:shd w:val="clear" w:color="auto" w:fill="auto"/>
            <w:tcMar>
              <w:top w:w="100" w:type="dxa"/>
              <w:left w:w="100" w:type="dxa"/>
              <w:bottom w:w="100" w:type="dxa"/>
              <w:right w:w="100" w:type="dxa"/>
            </w:tcMar>
          </w:tcPr>
          <w:p w14:paraId="26B1B790" w14:textId="77777777" w:rsidR="00E70178" w:rsidRDefault="00E70178">
            <w:pPr>
              <w:widowControl w:val="0"/>
              <w:pBdr>
                <w:top w:val="nil"/>
                <w:left w:val="nil"/>
                <w:bottom w:val="nil"/>
                <w:right w:val="nil"/>
                <w:between w:val="nil"/>
              </w:pBdr>
              <w:spacing w:line="240" w:lineRule="auto"/>
              <w:jc w:val="center"/>
              <w:rPr>
                <w:b/>
                <w:sz w:val="16"/>
                <w:szCs w:val="16"/>
              </w:rPr>
            </w:pPr>
          </w:p>
        </w:tc>
        <w:tc>
          <w:tcPr>
            <w:tcW w:w="1980" w:type="dxa"/>
            <w:shd w:val="clear" w:color="auto" w:fill="auto"/>
            <w:tcMar>
              <w:top w:w="100" w:type="dxa"/>
              <w:left w:w="100" w:type="dxa"/>
              <w:bottom w:w="100" w:type="dxa"/>
              <w:right w:w="100" w:type="dxa"/>
            </w:tcMar>
          </w:tcPr>
          <w:p w14:paraId="0ADBE8DB" w14:textId="77777777" w:rsidR="00E70178" w:rsidRDefault="00E70178">
            <w:pPr>
              <w:widowControl w:val="0"/>
              <w:pBdr>
                <w:top w:val="nil"/>
                <w:left w:val="nil"/>
                <w:bottom w:val="nil"/>
                <w:right w:val="nil"/>
                <w:between w:val="nil"/>
              </w:pBdr>
              <w:spacing w:line="240" w:lineRule="auto"/>
              <w:jc w:val="center"/>
              <w:rPr>
                <w:b/>
                <w:sz w:val="16"/>
                <w:szCs w:val="16"/>
              </w:rPr>
            </w:pPr>
          </w:p>
        </w:tc>
      </w:tr>
    </w:tbl>
    <w:p w14:paraId="359FBFEF" w14:textId="77777777" w:rsidR="00E70178" w:rsidRDefault="00E70178">
      <w:pPr>
        <w:spacing w:line="360" w:lineRule="auto"/>
        <w:rPr>
          <w:b/>
          <w:sz w:val="20"/>
          <w:szCs w:val="20"/>
        </w:rPr>
      </w:pPr>
    </w:p>
    <w:p w14:paraId="4C93008D" w14:textId="77777777" w:rsidR="00E70178" w:rsidRDefault="00000000">
      <w:pPr>
        <w:spacing w:line="360" w:lineRule="auto"/>
        <w:rPr>
          <w:i/>
          <w:highlight w:val="yellow"/>
        </w:rPr>
      </w:pPr>
      <w:r>
        <w:rPr>
          <w:b/>
          <w:sz w:val="20"/>
          <w:szCs w:val="20"/>
          <w:highlight w:val="yellow"/>
        </w:rPr>
        <w:t>*</w:t>
      </w:r>
      <w:r>
        <w:rPr>
          <w:i/>
          <w:highlight w:val="yellow"/>
        </w:rPr>
        <w:t>GENERAL NOTE: WEAR GLOVES AT ALL TIMES DURING PREPARATION STEPS TO REDUCE CONTAMINATION*</w:t>
      </w:r>
    </w:p>
    <w:p w14:paraId="3E88FB10" w14:textId="77777777" w:rsidR="00E70178" w:rsidRDefault="00000000">
      <w:pPr>
        <w:numPr>
          <w:ilvl w:val="1"/>
          <w:numId w:val="1"/>
        </w:numPr>
        <w:spacing w:line="360" w:lineRule="auto"/>
        <w:rPr>
          <w:b/>
        </w:rPr>
      </w:pPr>
      <w:r>
        <w:rPr>
          <w:b/>
        </w:rPr>
        <w:t>Plasticware Preparation</w:t>
      </w:r>
    </w:p>
    <w:p w14:paraId="2814667C" w14:textId="77777777" w:rsidR="00E70178" w:rsidRDefault="00000000">
      <w:pPr>
        <w:numPr>
          <w:ilvl w:val="2"/>
          <w:numId w:val="1"/>
        </w:numPr>
        <w:spacing w:line="360" w:lineRule="auto"/>
      </w:pPr>
      <w:r>
        <w:rPr>
          <w:sz w:val="18"/>
          <w:szCs w:val="18"/>
        </w:rPr>
        <w:t xml:space="preserve">Make 5 Liters of 5% Nitric Acid Solution with 18.2MΩ water and Trace Metal Grade </w:t>
      </w:r>
      <w:proofErr w:type="spellStart"/>
      <w:r>
        <w:rPr>
          <w:sz w:val="18"/>
          <w:szCs w:val="18"/>
        </w:rPr>
        <w:t>Nitiric</w:t>
      </w:r>
      <w:proofErr w:type="spellEnd"/>
      <w:r>
        <w:rPr>
          <w:sz w:val="18"/>
          <w:szCs w:val="18"/>
        </w:rPr>
        <w:t xml:space="preserve"> Acid. (Can also use OES Grade Nitric Acid)</w:t>
      </w:r>
    </w:p>
    <w:p w14:paraId="31AC7C70" w14:textId="77777777" w:rsidR="00E70178" w:rsidRDefault="00000000">
      <w:pPr>
        <w:numPr>
          <w:ilvl w:val="2"/>
          <w:numId w:val="1"/>
        </w:numPr>
        <w:spacing w:line="360" w:lineRule="auto"/>
      </w:pPr>
      <w:r>
        <w:rPr>
          <w:sz w:val="18"/>
          <w:szCs w:val="18"/>
        </w:rPr>
        <w:t>Put 15mL and 50mL Conical Tubes in 5% Nitric Acid Bath overnight (Tubes and Caps). Use Apron and Acid-Resistant Gloves. Make sure the tubes are full submerged in the Acid Bath</w:t>
      </w:r>
    </w:p>
    <w:p w14:paraId="412EA2EA" w14:textId="77777777" w:rsidR="00E70178" w:rsidRDefault="00000000">
      <w:pPr>
        <w:numPr>
          <w:ilvl w:val="2"/>
          <w:numId w:val="1"/>
        </w:numPr>
        <w:spacing w:line="360" w:lineRule="auto"/>
      </w:pPr>
      <w:r>
        <w:rPr>
          <w:sz w:val="18"/>
          <w:szCs w:val="18"/>
        </w:rPr>
        <w:t xml:space="preserve">Rinse with </w:t>
      </w:r>
      <w:proofErr w:type="spellStart"/>
      <w:r>
        <w:rPr>
          <w:sz w:val="18"/>
          <w:szCs w:val="18"/>
        </w:rPr>
        <w:t>UltraPure</w:t>
      </w:r>
      <w:proofErr w:type="spellEnd"/>
      <w:r>
        <w:rPr>
          <w:sz w:val="18"/>
          <w:szCs w:val="18"/>
        </w:rPr>
        <w:t xml:space="preserve"> Water from Carboy and let dry overnight. (Dry upside-down on </w:t>
      </w:r>
      <w:proofErr w:type="spellStart"/>
      <w:r>
        <w:rPr>
          <w:sz w:val="18"/>
          <w:szCs w:val="18"/>
        </w:rPr>
        <w:t>KimWipes</w:t>
      </w:r>
      <w:proofErr w:type="spellEnd"/>
      <w:r>
        <w:rPr>
          <w:sz w:val="18"/>
          <w:szCs w:val="18"/>
        </w:rPr>
        <w:t xml:space="preserve"> to prevent contamination)</w:t>
      </w:r>
    </w:p>
    <w:p w14:paraId="352CB6C3" w14:textId="77777777" w:rsidR="00E70178" w:rsidRDefault="00000000">
      <w:pPr>
        <w:numPr>
          <w:ilvl w:val="2"/>
          <w:numId w:val="1"/>
        </w:numPr>
        <w:spacing w:line="360" w:lineRule="auto"/>
      </w:pPr>
      <w:r>
        <w:rPr>
          <w:sz w:val="18"/>
          <w:szCs w:val="18"/>
        </w:rPr>
        <w:t>Wrap with plastic wrap once they are dry.</w:t>
      </w:r>
    </w:p>
    <w:p w14:paraId="0F6C22D2" w14:textId="77777777" w:rsidR="00E70178" w:rsidRDefault="00000000">
      <w:pPr>
        <w:numPr>
          <w:ilvl w:val="1"/>
          <w:numId w:val="1"/>
        </w:numPr>
        <w:spacing w:line="360" w:lineRule="auto"/>
        <w:rPr>
          <w:b/>
        </w:rPr>
      </w:pPr>
      <w:r>
        <w:rPr>
          <w:b/>
        </w:rPr>
        <w:t>Solution Preparation</w:t>
      </w:r>
    </w:p>
    <w:p w14:paraId="42808CCF" w14:textId="77777777" w:rsidR="00E70178" w:rsidRDefault="00000000">
      <w:pPr>
        <w:numPr>
          <w:ilvl w:val="2"/>
          <w:numId w:val="1"/>
        </w:numPr>
        <w:spacing w:line="360" w:lineRule="auto"/>
        <w:rPr>
          <w:b/>
        </w:rPr>
      </w:pPr>
      <w:bookmarkStart w:id="0" w:name="7ndrz5pmxaa0" w:colFirst="0" w:colLast="0"/>
      <w:bookmarkEnd w:id="0"/>
      <w:r>
        <w:rPr>
          <w:b/>
          <w:sz w:val="18"/>
          <w:szCs w:val="18"/>
        </w:rPr>
        <w:t xml:space="preserve">ICP-MS Rinse Solution (2% Nitric Acid (v/v)) - </w:t>
      </w:r>
      <w:r>
        <w:rPr>
          <w:sz w:val="18"/>
          <w:szCs w:val="18"/>
        </w:rPr>
        <w:t xml:space="preserve">Ex. Add 20mL of Trace Metal Grade Nitric Acid to 1000mL of </w:t>
      </w:r>
      <w:proofErr w:type="spellStart"/>
      <w:r>
        <w:rPr>
          <w:sz w:val="18"/>
          <w:szCs w:val="18"/>
        </w:rPr>
        <w:t>UltraPure</w:t>
      </w:r>
      <w:proofErr w:type="spellEnd"/>
      <w:r>
        <w:rPr>
          <w:sz w:val="18"/>
          <w:szCs w:val="18"/>
        </w:rPr>
        <w:t xml:space="preserve"> Water (18.2 MΩ). (Scale up as needed).</w:t>
      </w:r>
    </w:p>
    <w:p w14:paraId="58A6B5B8" w14:textId="77777777" w:rsidR="00E70178" w:rsidRDefault="00000000">
      <w:pPr>
        <w:numPr>
          <w:ilvl w:val="2"/>
          <w:numId w:val="1"/>
        </w:numPr>
        <w:spacing w:line="360" w:lineRule="auto"/>
        <w:rPr>
          <w:b/>
        </w:rPr>
      </w:pPr>
      <w:r>
        <w:rPr>
          <w:b/>
          <w:sz w:val="18"/>
          <w:szCs w:val="18"/>
        </w:rPr>
        <w:lastRenderedPageBreak/>
        <w:t xml:space="preserve">Standard Curve Solutions - </w:t>
      </w:r>
      <w:r>
        <w:rPr>
          <w:sz w:val="18"/>
          <w:szCs w:val="18"/>
        </w:rPr>
        <w:t>Need at least 4 different concentration levels of the elements that are going to be analyzed. (Ex. 100ppm, 10ppm, 1ppm, 100ppb, 10ppb)</w:t>
      </w:r>
    </w:p>
    <w:p w14:paraId="0E96297D" w14:textId="77777777" w:rsidR="00E70178" w:rsidRDefault="00000000">
      <w:pPr>
        <w:spacing w:line="360" w:lineRule="auto"/>
        <w:ind w:left="2160"/>
        <w:rPr>
          <w:sz w:val="18"/>
          <w:szCs w:val="18"/>
        </w:rPr>
      </w:pPr>
      <w:r>
        <w:rPr>
          <w:sz w:val="18"/>
          <w:szCs w:val="18"/>
        </w:rPr>
        <w:t>Standards are prepared by diluting the multi-element lab standards in 18 MΩ water in acid-washed 15 mL centrifuge tubes. This is best done in the clean lab. Diluted standards should be acidified to 2% nitric acid (0.2 mL nitric acid in 9.8 mL standard solution)</w:t>
      </w:r>
    </w:p>
    <w:p w14:paraId="31C26B7D" w14:textId="77777777" w:rsidR="00E70178" w:rsidRDefault="00000000">
      <w:pPr>
        <w:numPr>
          <w:ilvl w:val="1"/>
          <w:numId w:val="1"/>
        </w:numPr>
        <w:spacing w:line="360" w:lineRule="auto"/>
        <w:rPr>
          <w:b/>
        </w:rPr>
      </w:pPr>
      <w:r>
        <w:rPr>
          <w:b/>
        </w:rPr>
        <w:t>Sample Preparation</w:t>
      </w:r>
    </w:p>
    <w:p w14:paraId="0AA27467" w14:textId="77777777" w:rsidR="00E70178" w:rsidRDefault="00000000">
      <w:pPr>
        <w:numPr>
          <w:ilvl w:val="2"/>
          <w:numId w:val="1"/>
        </w:numPr>
        <w:spacing w:line="360" w:lineRule="auto"/>
        <w:rPr>
          <w:b/>
        </w:rPr>
      </w:pPr>
      <w:r>
        <w:rPr>
          <w:b/>
          <w:sz w:val="18"/>
          <w:szCs w:val="18"/>
        </w:rPr>
        <w:t>Solid Samples</w:t>
      </w:r>
    </w:p>
    <w:p w14:paraId="15584CAB" w14:textId="77777777" w:rsidR="00E70178" w:rsidRDefault="00000000">
      <w:pPr>
        <w:numPr>
          <w:ilvl w:val="3"/>
          <w:numId w:val="1"/>
        </w:numPr>
        <w:spacing w:line="360" w:lineRule="auto"/>
      </w:pPr>
      <w:r>
        <w:rPr>
          <w:sz w:val="18"/>
          <w:szCs w:val="18"/>
        </w:rPr>
        <w:t>Dry and weigh the sample, transfer to a clean 15 mL centrifuge tube.</w:t>
      </w:r>
    </w:p>
    <w:p w14:paraId="7781E6E7" w14:textId="77777777" w:rsidR="00E70178" w:rsidRDefault="00000000">
      <w:pPr>
        <w:numPr>
          <w:ilvl w:val="3"/>
          <w:numId w:val="1"/>
        </w:numPr>
        <w:spacing w:line="360" w:lineRule="auto"/>
      </w:pPr>
      <w:r>
        <w:rPr>
          <w:sz w:val="18"/>
          <w:szCs w:val="18"/>
        </w:rPr>
        <w:t>Dissolve ~0.5 g sample in 10 mL 10% analytical grade nitric acid. Sample should fizz (evolve CO2</w:t>
      </w:r>
      <w:proofErr w:type="gramStart"/>
      <w:r>
        <w:rPr>
          <w:sz w:val="18"/>
          <w:szCs w:val="18"/>
        </w:rPr>
        <w:t>), and</w:t>
      </w:r>
      <w:proofErr w:type="gramEnd"/>
      <w:r>
        <w:rPr>
          <w:sz w:val="18"/>
          <w:szCs w:val="18"/>
        </w:rPr>
        <w:t xml:space="preserve"> stop fizzing if the reaction is complete. If more acid is required for complete dissolution, note the final amount used.</w:t>
      </w:r>
    </w:p>
    <w:p w14:paraId="4D842141" w14:textId="77777777" w:rsidR="00E70178" w:rsidRDefault="00000000">
      <w:pPr>
        <w:numPr>
          <w:ilvl w:val="3"/>
          <w:numId w:val="1"/>
        </w:numPr>
        <w:spacing w:line="360" w:lineRule="auto"/>
      </w:pPr>
      <w:r>
        <w:rPr>
          <w:sz w:val="18"/>
          <w:szCs w:val="18"/>
        </w:rPr>
        <w:t>Treat the dissolved carbonate as a liquid sample and proceed to the following steps.</w:t>
      </w:r>
    </w:p>
    <w:p w14:paraId="60FCA5D5" w14:textId="77777777" w:rsidR="00E70178" w:rsidRDefault="00000000">
      <w:pPr>
        <w:numPr>
          <w:ilvl w:val="2"/>
          <w:numId w:val="1"/>
        </w:numPr>
        <w:spacing w:line="360" w:lineRule="auto"/>
        <w:rPr>
          <w:b/>
        </w:rPr>
      </w:pPr>
      <w:r>
        <w:rPr>
          <w:b/>
          <w:sz w:val="18"/>
          <w:szCs w:val="18"/>
        </w:rPr>
        <w:t>Liquid Samples</w:t>
      </w:r>
    </w:p>
    <w:p w14:paraId="5772D9CF" w14:textId="77777777" w:rsidR="00E70178" w:rsidRDefault="00000000">
      <w:pPr>
        <w:numPr>
          <w:ilvl w:val="3"/>
          <w:numId w:val="1"/>
        </w:numPr>
        <w:spacing w:line="360" w:lineRule="auto"/>
      </w:pPr>
      <w:r>
        <w:rPr>
          <w:sz w:val="18"/>
          <w:szCs w:val="18"/>
        </w:rPr>
        <w:t>Filter sample with a 0.2 µm pore size syringe filter. The final (post-filtering and dilution) volume should be ~15 mL (so Great Salt Lake waters only require filtration of &lt; 1 mL).</w:t>
      </w:r>
    </w:p>
    <w:p w14:paraId="6C1AB695" w14:textId="77777777" w:rsidR="00E70178" w:rsidRDefault="00000000">
      <w:pPr>
        <w:numPr>
          <w:ilvl w:val="3"/>
          <w:numId w:val="1"/>
        </w:numPr>
        <w:spacing w:line="360" w:lineRule="auto"/>
      </w:pPr>
      <w:r>
        <w:rPr>
          <w:sz w:val="18"/>
          <w:szCs w:val="18"/>
        </w:rPr>
        <w:t>Using acid-washed, analytical-grade glassware, dilute the sample to ~1 ppm TDS with 18 MΩ water. (Ex: 14% salinity Great Salt Lake waters should be diluted 1:10,000, i.e. 0.1 mL filtered sample diluted to 1L with 18 MΩ water).</w:t>
      </w:r>
    </w:p>
    <w:p w14:paraId="57DB70E8" w14:textId="77777777" w:rsidR="00E70178" w:rsidRDefault="00000000">
      <w:pPr>
        <w:numPr>
          <w:ilvl w:val="3"/>
          <w:numId w:val="1"/>
        </w:numPr>
        <w:spacing w:line="360" w:lineRule="auto"/>
      </w:pPr>
      <w:r>
        <w:rPr>
          <w:sz w:val="18"/>
          <w:szCs w:val="18"/>
        </w:rPr>
        <w:t>Transfer 45 mL of filtered, diluted sample into a clean (acid-washed) 50 mL conical tube (or if you have a smaller sample volume, 9.8 mL into a 15 mL conical tube).</w:t>
      </w:r>
    </w:p>
    <w:p w14:paraId="18875B03" w14:textId="77777777" w:rsidR="00E70178" w:rsidRDefault="00000000">
      <w:pPr>
        <w:numPr>
          <w:ilvl w:val="3"/>
          <w:numId w:val="1"/>
        </w:numPr>
        <w:spacing w:line="360" w:lineRule="auto"/>
      </w:pPr>
      <w:r>
        <w:rPr>
          <w:sz w:val="18"/>
          <w:szCs w:val="18"/>
        </w:rPr>
        <w:t>Acidify to 2% HNO3 with full-strength trace metals/ICP-MS grade nitric acid (e.g., add 0.2 mL acid to 9.8 mL sample, or 1 mL acid to 45 mL sample).</w:t>
      </w:r>
    </w:p>
    <w:p w14:paraId="1BBB36B1" w14:textId="77777777" w:rsidR="00E70178" w:rsidRDefault="00000000">
      <w:pPr>
        <w:numPr>
          <w:ilvl w:val="3"/>
          <w:numId w:val="1"/>
        </w:numPr>
        <w:spacing w:line="360" w:lineRule="auto"/>
      </w:pPr>
      <w:r>
        <w:rPr>
          <w:sz w:val="18"/>
          <w:szCs w:val="18"/>
        </w:rPr>
        <w:t>Store all samples capped and protected (e.g., in a clean bin or wrapped in plastic wrap) to prevent environmental contamination.</w:t>
      </w:r>
    </w:p>
    <w:p w14:paraId="782DEB68" w14:textId="77777777" w:rsidR="00E70178" w:rsidRDefault="00000000">
      <w:pPr>
        <w:numPr>
          <w:ilvl w:val="0"/>
          <w:numId w:val="1"/>
        </w:numPr>
        <w:spacing w:line="360" w:lineRule="auto"/>
        <w:rPr>
          <w:b/>
          <w:sz w:val="26"/>
          <w:szCs w:val="26"/>
        </w:rPr>
      </w:pPr>
      <w:r>
        <w:rPr>
          <w:b/>
          <w:sz w:val="26"/>
          <w:szCs w:val="26"/>
        </w:rPr>
        <w:t>Instrument Operation</w:t>
      </w:r>
    </w:p>
    <w:p w14:paraId="14ACDD16" w14:textId="77777777" w:rsidR="00E70178" w:rsidRDefault="00000000">
      <w:pPr>
        <w:numPr>
          <w:ilvl w:val="1"/>
          <w:numId w:val="1"/>
        </w:numPr>
        <w:spacing w:line="360" w:lineRule="auto"/>
        <w:rPr>
          <w:b/>
        </w:rPr>
      </w:pPr>
      <w:r>
        <w:rPr>
          <w:b/>
        </w:rPr>
        <w:t>Software Overview</w:t>
      </w:r>
    </w:p>
    <w:p w14:paraId="46AA4279" w14:textId="77777777" w:rsidR="00E70178" w:rsidRDefault="00000000">
      <w:pPr>
        <w:numPr>
          <w:ilvl w:val="2"/>
          <w:numId w:val="1"/>
        </w:numPr>
        <w:spacing w:line="360" w:lineRule="auto"/>
        <w:rPr>
          <w:b/>
        </w:rPr>
      </w:pPr>
      <w:r>
        <w:rPr>
          <w:b/>
          <w:sz w:val="18"/>
          <w:szCs w:val="18"/>
        </w:rPr>
        <w:t>Windows Login</w:t>
      </w:r>
    </w:p>
    <w:p w14:paraId="0CC4FF9D" w14:textId="08FFDE12" w:rsidR="00E70178" w:rsidRPr="00C65434" w:rsidRDefault="00000000">
      <w:pPr>
        <w:numPr>
          <w:ilvl w:val="3"/>
          <w:numId w:val="1"/>
        </w:numPr>
        <w:spacing w:line="360" w:lineRule="auto"/>
        <w:rPr>
          <w:b/>
        </w:rPr>
      </w:pPr>
      <w:r>
        <w:rPr>
          <w:b/>
          <w:sz w:val="18"/>
          <w:szCs w:val="18"/>
        </w:rPr>
        <w:t xml:space="preserve">Log into </w:t>
      </w:r>
      <w:r w:rsidR="00C65434">
        <w:rPr>
          <w:b/>
          <w:sz w:val="18"/>
          <w:szCs w:val="18"/>
        </w:rPr>
        <w:t>SUMS</w:t>
      </w:r>
    </w:p>
    <w:p w14:paraId="542A14E4" w14:textId="77777777" w:rsidR="00C65434" w:rsidRDefault="00C65434" w:rsidP="00C65434">
      <w:pPr>
        <w:spacing w:line="360" w:lineRule="auto"/>
        <w:ind w:left="2880"/>
        <w:rPr>
          <w:b/>
        </w:rPr>
      </w:pPr>
    </w:p>
    <w:p w14:paraId="4D3E7325" w14:textId="77777777" w:rsidR="00E70178" w:rsidRDefault="00000000">
      <w:pPr>
        <w:numPr>
          <w:ilvl w:val="2"/>
          <w:numId w:val="1"/>
        </w:numPr>
        <w:spacing w:line="360" w:lineRule="auto"/>
        <w:rPr>
          <w:b/>
        </w:rPr>
      </w:pPr>
      <w:r>
        <w:rPr>
          <w:b/>
          <w:sz w:val="18"/>
          <w:szCs w:val="18"/>
        </w:rPr>
        <w:t xml:space="preserve">Instrument Control &amp; </w:t>
      </w:r>
      <w:proofErr w:type="spellStart"/>
      <w:r>
        <w:rPr>
          <w:b/>
          <w:sz w:val="18"/>
          <w:szCs w:val="18"/>
        </w:rPr>
        <w:t>Qtegra</w:t>
      </w:r>
      <w:proofErr w:type="spellEnd"/>
    </w:p>
    <w:p w14:paraId="6FD44395" w14:textId="77777777" w:rsidR="00E70178" w:rsidRDefault="00000000">
      <w:pPr>
        <w:numPr>
          <w:ilvl w:val="3"/>
          <w:numId w:val="1"/>
        </w:numPr>
        <w:spacing w:line="360" w:lineRule="auto"/>
      </w:pPr>
      <w:r>
        <w:rPr>
          <w:sz w:val="18"/>
          <w:szCs w:val="18"/>
        </w:rPr>
        <w:t xml:space="preserve">The </w:t>
      </w:r>
      <w:proofErr w:type="spellStart"/>
      <w:r>
        <w:rPr>
          <w:sz w:val="18"/>
          <w:szCs w:val="18"/>
        </w:rPr>
        <w:t>ThermoScientific</w:t>
      </w:r>
      <w:proofErr w:type="spellEnd"/>
      <w:r>
        <w:rPr>
          <w:sz w:val="18"/>
          <w:szCs w:val="18"/>
        </w:rPr>
        <w:t xml:space="preserve"> software for the operation of the </w:t>
      </w:r>
      <w:proofErr w:type="spellStart"/>
      <w:r>
        <w:rPr>
          <w:sz w:val="18"/>
          <w:szCs w:val="18"/>
        </w:rPr>
        <w:t>iCAP</w:t>
      </w:r>
      <w:proofErr w:type="spellEnd"/>
      <w:r>
        <w:rPr>
          <w:sz w:val="18"/>
          <w:szCs w:val="18"/>
        </w:rPr>
        <w:t xml:space="preserve"> Q ICP-MS is called </w:t>
      </w:r>
      <w:proofErr w:type="spellStart"/>
      <w:r>
        <w:rPr>
          <w:sz w:val="18"/>
          <w:szCs w:val="18"/>
        </w:rPr>
        <w:t>Qtegra</w:t>
      </w:r>
      <w:proofErr w:type="spellEnd"/>
      <w:r>
        <w:rPr>
          <w:sz w:val="18"/>
          <w:szCs w:val="18"/>
        </w:rPr>
        <w:t xml:space="preserve">. It has two components: </w:t>
      </w:r>
      <w:r>
        <w:rPr>
          <w:b/>
          <w:sz w:val="18"/>
          <w:szCs w:val="18"/>
        </w:rPr>
        <w:t>Instrument Control</w:t>
      </w:r>
      <w:r>
        <w:rPr>
          <w:sz w:val="18"/>
          <w:szCs w:val="18"/>
        </w:rPr>
        <w:t xml:space="preserve"> and </w:t>
      </w:r>
      <w:proofErr w:type="spellStart"/>
      <w:r>
        <w:rPr>
          <w:b/>
          <w:sz w:val="18"/>
          <w:szCs w:val="18"/>
        </w:rPr>
        <w:t>Qtegra</w:t>
      </w:r>
      <w:proofErr w:type="spellEnd"/>
      <w:r>
        <w:rPr>
          <w:sz w:val="18"/>
          <w:szCs w:val="18"/>
        </w:rPr>
        <w:t>.</w:t>
      </w:r>
    </w:p>
    <w:p w14:paraId="3D318F9C" w14:textId="77777777" w:rsidR="00E70178" w:rsidRDefault="00000000">
      <w:pPr>
        <w:numPr>
          <w:ilvl w:val="3"/>
          <w:numId w:val="1"/>
        </w:numPr>
        <w:spacing w:line="360" w:lineRule="auto"/>
        <w:rPr>
          <w:sz w:val="18"/>
          <w:szCs w:val="18"/>
        </w:rPr>
      </w:pPr>
      <w:r>
        <w:rPr>
          <w:sz w:val="18"/>
          <w:szCs w:val="18"/>
        </w:rPr>
        <w:t xml:space="preserve">Note that there may be some confusion because the name of one of the components is the same as that of the two components together. In this document, </w:t>
      </w:r>
      <w:proofErr w:type="spellStart"/>
      <w:r>
        <w:rPr>
          <w:sz w:val="18"/>
          <w:szCs w:val="18"/>
        </w:rPr>
        <w:t>Qtegra</w:t>
      </w:r>
      <w:proofErr w:type="spellEnd"/>
      <w:r>
        <w:rPr>
          <w:sz w:val="18"/>
          <w:szCs w:val="18"/>
        </w:rPr>
        <w:t xml:space="preserve"> means the component, unless otherwise noted.</w:t>
      </w:r>
    </w:p>
    <w:p w14:paraId="315F1D7A" w14:textId="06B7C446" w:rsidR="00E70178" w:rsidRDefault="00000000">
      <w:pPr>
        <w:numPr>
          <w:ilvl w:val="3"/>
          <w:numId w:val="1"/>
        </w:numPr>
        <w:spacing w:line="360" w:lineRule="auto"/>
        <w:rPr>
          <w:sz w:val="18"/>
          <w:szCs w:val="18"/>
        </w:rPr>
      </w:pPr>
      <w:r>
        <w:rPr>
          <w:sz w:val="18"/>
          <w:szCs w:val="18"/>
        </w:rPr>
        <w:t xml:space="preserve">Instrument Control should be used to ignite the plasma, run performance tests, and tune the system. </w:t>
      </w:r>
      <w:proofErr w:type="spellStart"/>
      <w:r>
        <w:rPr>
          <w:sz w:val="18"/>
          <w:szCs w:val="18"/>
        </w:rPr>
        <w:t>Qtegra</w:t>
      </w:r>
      <w:proofErr w:type="spellEnd"/>
      <w:r>
        <w:rPr>
          <w:sz w:val="18"/>
          <w:szCs w:val="18"/>
        </w:rPr>
        <w:t xml:space="preserve"> must be used to acquire mass spectra. </w:t>
      </w:r>
      <w:proofErr w:type="spellStart"/>
      <w:r>
        <w:rPr>
          <w:sz w:val="18"/>
          <w:szCs w:val="18"/>
        </w:rPr>
        <w:t>Qtegra</w:t>
      </w:r>
      <w:proofErr w:type="spellEnd"/>
      <w:r>
        <w:rPr>
          <w:sz w:val="18"/>
          <w:szCs w:val="18"/>
        </w:rPr>
        <w:t xml:space="preserve"> may </w:t>
      </w:r>
      <w:r>
        <w:rPr>
          <w:sz w:val="18"/>
          <w:szCs w:val="18"/>
        </w:rPr>
        <w:lastRenderedPageBreak/>
        <w:t xml:space="preserve">also be used to ignite the plasma, run performance tests, and tune the system but for those applications it is not as versatile and gives less information than Instrument Control. Consequently, the latter is preferred for those applications and those features of </w:t>
      </w:r>
      <w:proofErr w:type="spellStart"/>
      <w:r>
        <w:rPr>
          <w:sz w:val="18"/>
          <w:szCs w:val="18"/>
        </w:rPr>
        <w:t>Qtegra</w:t>
      </w:r>
      <w:proofErr w:type="spellEnd"/>
      <w:r>
        <w:rPr>
          <w:sz w:val="18"/>
          <w:szCs w:val="18"/>
        </w:rPr>
        <w:t xml:space="preserve"> are not discussed in this procedure.</w:t>
      </w:r>
    </w:p>
    <w:p w14:paraId="28FAA7F0" w14:textId="77777777" w:rsidR="00E70178" w:rsidRDefault="00000000">
      <w:pPr>
        <w:numPr>
          <w:ilvl w:val="3"/>
          <w:numId w:val="1"/>
        </w:numPr>
        <w:spacing w:line="360" w:lineRule="auto"/>
        <w:rPr>
          <w:sz w:val="18"/>
          <w:szCs w:val="18"/>
        </w:rPr>
      </w:pPr>
      <w:r>
        <w:rPr>
          <w:sz w:val="18"/>
          <w:szCs w:val="18"/>
        </w:rPr>
        <w:t xml:space="preserve">Mass spectra are </w:t>
      </w:r>
      <w:proofErr w:type="gramStart"/>
      <w:r>
        <w:rPr>
          <w:sz w:val="18"/>
          <w:szCs w:val="18"/>
        </w:rPr>
        <w:t>measured</w:t>
      </w:r>
      <w:proofErr w:type="gramEnd"/>
      <w:r>
        <w:rPr>
          <w:sz w:val="18"/>
          <w:szCs w:val="18"/>
        </w:rPr>
        <w:t xml:space="preserve"> and the results are displayed in a </w:t>
      </w:r>
      <w:proofErr w:type="spellStart"/>
      <w:r>
        <w:rPr>
          <w:sz w:val="18"/>
          <w:szCs w:val="18"/>
        </w:rPr>
        <w:t>LabBook</w:t>
      </w:r>
      <w:proofErr w:type="spellEnd"/>
      <w:r>
        <w:rPr>
          <w:sz w:val="18"/>
          <w:szCs w:val="18"/>
        </w:rPr>
        <w:t xml:space="preserve"> in </w:t>
      </w:r>
      <w:proofErr w:type="spellStart"/>
      <w:r>
        <w:rPr>
          <w:sz w:val="18"/>
          <w:szCs w:val="18"/>
        </w:rPr>
        <w:t>Qtegra</w:t>
      </w:r>
      <w:proofErr w:type="spellEnd"/>
      <w:r>
        <w:rPr>
          <w:sz w:val="18"/>
          <w:szCs w:val="18"/>
        </w:rPr>
        <w:t xml:space="preserve">. Initially, a </w:t>
      </w:r>
      <w:proofErr w:type="spellStart"/>
      <w:r>
        <w:rPr>
          <w:sz w:val="18"/>
          <w:szCs w:val="18"/>
        </w:rPr>
        <w:t>LabBook</w:t>
      </w:r>
      <w:proofErr w:type="spellEnd"/>
      <w:r>
        <w:rPr>
          <w:sz w:val="18"/>
          <w:szCs w:val="18"/>
        </w:rPr>
        <w:t xml:space="preserve"> is essentially a complete recipe for a set of measurements. When a </w:t>
      </w:r>
      <w:proofErr w:type="spellStart"/>
      <w:r>
        <w:rPr>
          <w:sz w:val="18"/>
          <w:szCs w:val="18"/>
        </w:rPr>
        <w:t>LabBook</w:t>
      </w:r>
      <w:proofErr w:type="spellEnd"/>
      <w:r>
        <w:rPr>
          <w:sz w:val="18"/>
          <w:szCs w:val="18"/>
        </w:rPr>
        <w:t xml:space="preserve"> is run, the measured data </w:t>
      </w:r>
      <w:proofErr w:type="gramStart"/>
      <w:r>
        <w:rPr>
          <w:sz w:val="18"/>
          <w:szCs w:val="18"/>
        </w:rPr>
        <w:t>are</w:t>
      </w:r>
      <w:proofErr w:type="gramEnd"/>
      <w:r>
        <w:rPr>
          <w:sz w:val="18"/>
          <w:szCs w:val="18"/>
        </w:rPr>
        <w:t xml:space="preserve"> added to it. Once measured data are added, they cannot be deleted from the </w:t>
      </w:r>
      <w:proofErr w:type="spellStart"/>
      <w:r>
        <w:rPr>
          <w:sz w:val="18"/>
          <w:szCs w:val="18"/>
        </w:rPr>
        <w:t>LabBook</w:t>
      </w:r>
      <w:proofErr w:type="spellEnd"/>
      <w:r>
        <w:rPr>
          <w:sz w:val="18"/>
          <w:szCs w:val="18"/>
        </w:rPr>
        <w:t>.</w:t>
      </w:r>
    </w:p>
    <w:p w14:paraId="33097B21" w14:textId="77777777" w:rsidR="00E70178" w:rsidRDefault="00000000">
      <w:pPr>
        <w:numPr>
          <w:ilvl w:val="1"/>
          <w:numId w:val="1"/>
        </w:numPr>
        <w:spacing w:line="360" w:lineRule="auto"/>
        <w:rPr>
          <w:b/>
        </w:rPr>
      </w:pPr>
      <w:r>
        <w:rPr>
          <w:b/>
        </w:rPr>
        <w:t>Instrument Preparation</w:t>
      </w:r>
    </w:p>
    <w:p w14:paraId="0DC56BC5" w14:textId="77777777" w:rsidR="00E70178" w:rsidRDefault="00000000">
      <w:pPr>
        <w:numPr>
          <w:ilvl w:val="2"/>
          <w:numId w:val="1"/>
        </w:numPr>
        <w:spacing w:line="360" w:lineRule="auto"/>
        <w:rPr>
          <w:b/>
        </w:rPr>
      </w:pPr>
      <w:r>
        <w:rPr>
          <w:b/>
          <w:sz w:val="18"/>
          <w:szCs w:val="18"/>
        </w:rPr>
        <w:t>Turn on Water Chiller - Let it cool down to 20°</w:t>
      </w:r>
      <w:proofErr w:type="gramStart"/>
      <w:r>
        <w:rPr>
          <w:b/>
          <w:sz w:val="18"/>
          <w:szCs w:val="18"/>
        </w:rPr>
        <w:t>C</w:t>
      </w:r>
      <w:proofErr w:type="gramEnd"/>
    </w:p>
    <w:p w14:paraId="69C422AE" w14:textId="77777777" w:rsidR="00E70178" w:rsidRDefault="00000000">
      <w:pPr>
        <w:numPr>
          <w:ilvl w:val="2"/>
          <w:numId w:val="1"/>
        </w:numPr>
        <w:spacing w:line="360" w:lineRule="auto"/>
        <w:rPr>
          <w:b/>
        </w:rPr>
      </w:pPr>
      <w:r>
        <w:rPr>
          <w:b/>
          <w:sz w:val="18"/>
          <w:szCs w:val="18"/>
        </w:rPr>
        <w:t xml:space="preserve">Check Argon Gas Level and open </w:t>
      </w:r>
      <w:proofErr w:type="gramStart"/>
      <w:r>
        <w:rPr>
          <w:b/>
          <w:sz w:val="18"/>
          <w:szCs w:val="18"/>
        </w:rPr>
        <w:t>Valves</w:t>
      </w:r>
      <w:proofErr w:type="gramEnd"/>
      <w:r>
        <w:rPr>
          <w:b/>
          <w:sz w:val="18"/>
          <w:szCs w:val="18"/>
        </w:rPr>
        <w:t xml:space="preserve"> </w:t>
      </w:r>
    </w:p>
    <w:p w14:paraId="24735D4E" w14:textId="77777777" w:rsidR="00E70178" w:rsidRDefault="00000000">
      <w:pPr>
        <w:numPr>
          <w:ilvl w:val="3"/>
          <w:numId w:val="1"/>
        </w:numPr>
        <w:spacing w:line="360" w:lineRule="auto"/>
      </w:pPr>
      <w:r>
        <w:rPr>
          <w:sz w:val="18"/>
          <w:szCs w:val="18"/>
        </w:rPr>
        <w:t>Check Argon gas level and confirm there is enough for a sample run (Ask instrument technician for history of recent Argon use)</w:t>
      </w:r>
    </w:p>
    <w:p w14:paraId="78CF48FB" w14:textId="77777777" w:rsidR="00E70178" w:rsidRDefault="00000000">
      <w:pPr>
        <w:numPr>
          <w:ilvl w:val="3"/>
          <w:numId w:val="1"/>
        </w:numPr>
        <w:spacing w:line="360" w:lineRule="auto"/>
      </w:pPr>
      <w:r>
        <w:rPr>
          <w:sz w:val="18"/>
          <w:szCs w:val="18"/>
        </w:rPr>
        <w:t>Open Main Valve on Argon Tank (Twist left to Open)</w:t>
      </w:r>
    </w:p>
    <w:p w14:paraId="432FC89C" w14:textId="77777777" w:rsidR="00E70178" w:rsidRDefault="00000000">
      <w:pPr>
        <w:numPr>
          <w:ilvl w:val="3"/>
          <w:numId w:val="1"/>
        </w:numPr>
        <w:spacing w:line="360" w:lineRule="auto"/>
      </w:pPr>
      <w:r>
        <w:rPr>
          <w:sz w:val="18"/>
          <w:szCs w:val="18"/>
        </w:rPr>
        <w:t xml:space="preserve">Adjust Regulator coming off Argon cylinder to ensure ~90 </w:t>
      </w:r>
      <w:proofErr w:type="gramStart"/>
      <w:r>
        <w:rPr>
          <w:sz w:val="18"/>
          <w:szCs w:val="18"/>
        </w:rPr>
        <w:t>PSI</w:t>
      </w:r>
      <w:proofErr w:type="gramEnd"/>
    </w:p>
    <w:p w14:paraId="1B2FD33A" w14:textId="77777777" w:rsidR="00E70178" w:rsidRDefault="00000000">
      <w:pPr>
        <w:numPr>
          <w:ilvl w:val="3"/>
          <w:numId w:val="1"/>
        </w:numPr>
        <w:spacing w:line="360" w:lineRule="auto"/>
      </w:pPr>
      <w:r>
        <w:rPr>
          <w:sz w:val="18"/>
          <w:szCs w:val="18"/>
        </w:rPr>
        <w:t>Turn Argon Valve on the overhead chase to be parallel to the flow of gas to the ICP-MS to open the valve.</w:t>
      </w:r>
    </w:p>
    <w:p w14:paraId="14C727A6" w14:textId="77777777" w:rsidR="00E70178" w:rsidRDefault="00000000">
      <w:pPr>
        <w:numPr>
          <w:ilvl w:val="2"/>
          <w:numId w:val="1"/>
        </w:numPr>
        <w:spacing w:line="360" w:lineRule="auto"/>
        <w:rPr>
          <w:b/>
        </w:rPr>
      </w:pPr>
      <w:r>
        <w:rPr>
          <w:b/>
          <w:sz w:val="18"/>
          <w:szCs w:val="18"/>
        </w:rPr>
        <w:t>Check Waste/Rinse Solution Levels</w:t>
      </w:r>
    </w:p>
    <w:p w14:paraId="3748BB09" w14:textId="77777777" w:rsidR="00E70178" w:rsidRDefault="00000000">
      <w:pPr>
        <w:numPr>
          <w:ilvl w:val="3"/>
          <w:numId w:val="1"/>
        </w:numPr>
        <w:spacing w:line="360" w:lineRule="auto"/>
      </w:pPr>
      <w:r>
        <w:rPr>
          <w:sz w:val="18"/>
          <w:szCs w:val="18"/>
        </w:rPr>
        <w:t xml:space="preserve">Check the Rinse Solution bottle and confirm there is at least 1 Liter of solution. If necessary, make more solution as described in section </w:t>
      </w:r>
      <w:hyperlink w:anchor="7ndrz5pmxaa0">
        <w:r>
          <w:rPr>
            <w:color w:val="1155CC"/>
            <w:sz w:val="18"/>
            <w:szCs w:val="18"/>
            <w:u w:val="single"/>
          </w:rPr>
          <w:t>3.3.1</w:t>
        </w:r>
      </w:hyperlink>
      <w:r>
        <w:rPr>
          <w:sz w:val="18"/>
          <w:szCs w:val="18"/>
        </w:rPr>
        <w:t>.</w:t>
      </w:r>
    </w:p>
    <w:p w14:paraId="7C3C16CB" w14:textId="77777777" w:rsidR="00E70178" w:rsidRDefault="00000000">
      <w:pPr>
        <w:numPr>
          <w:ilvl w:val="3"/>
          <w:numId w:val="1"/>
        </w:numPr>
        <w:spacing w:line="360" w:lineRule="auto"/>
      </w:pPr>
      <w:r>
        <w:rPr>
          <w:sz w:val="18"/>
          <w:szCs w:val="18"/>
        </w:rPr>
        <w:t>Check and confirm that the level of the waste is below 75% full in the waste container. Ensure that the waste lines are properly going into the waste container.</w:t>
      </w:r>
    </w:p>
    <w:p w14:paraId="28435160" w14:textId="77777777" w:rsidR="00E70178" w:rsidRDefault="00000000">
      <w:pPr>
        <w:numPr>
          <w:ilvl w:val="2"/>
          <w:numId w:val="1"/>
        </w:numPr>
        <w:spacing w:line="360" w:lineRule="auto"/>
        <w:rPr>
          <w:b/>
        </w:rPr>
      </w:pPr>
      <w:r>
        <w:rPr>
          <w:b/>
          <w:sz w:val="18"/>
          <w:szCs w:val="18"/>
        </w:rPr>
        <w:t>Turn On Autosampler</w:t>
      </w:r>
    </w:p>
    <w:p w14:paraId="39958B72" w14:textId="77777777" w:rsidR="00E70178" w:rsidRDefault="00000000">
      <w:pPr>
        <w:numPr>
          <w:ilvl w:val="3"/>
          <w:numId w:val="1"/>
        </w:numPr>
        <w:spacing w:line="360" w:lineRule="auto"/>
        <w:rPr>
          <w:sz w:val="18"/>
          <w:szCs w:val="18"/>
        </w:rPr>
      </w:pPr>
      <w:r>
        <w:rPr>
          <w:sz w:val="18"/>
          <w:szCs w:val="18"/>
        </w:rPr>
        <w:t>Flip Switch on side of Autosampler</w:t>
      </w:r>
    </w:p>
    <w:p w14:paraId="39135767" w14:textId="77777777" w:rsidR="00E70178" w:rsidRDefault="00000000">
      <w:pPr>
        <w:numPr>
          <w:ilvl w:val="3"/>
          <w:numId w:val="1"/>
        </w:numPr>
        <w:spacing w:line="360" w:lineRule="auto"/>
      </w:pPr>
      <w:r>
        <w:rPr>
          <w:sz w:val="18"/>
          <w:szCs w:val="18"/>
        </w:rPr>
        <w:t>Initialize in Instrument Control</w:t>
      </w:r>
    </w:p>
    <w:p w14:paraId="360CCCBB" w14:textId="77777777" w:rsidR="00E70178" w:rsidRDefault="00000000">
      <w:pPr>
        <w:numPr>
          <w:ilvl w:val="2"/>
          <w:numId w:val="1"/>
        </w:numPr>
        <w:spacing w:line="360" w:lineRule="auto"/>
        <w:rPr>
          <w:b/>
        </w:rPr>
      </w:pPr>
      <w:r>
        <w:rPr>
          <w:b/>
          <w:sz w:val="18"/>
          <w:szCs w:val="18"/>
        </w:rPr>
        <w:t>Connect Tubes on Peristaltic Pump</w:t>
      </w:r>
    </w:p>
    <w:p w14:paraId="2416F242" w14:textId="77777777" w:rsidR="00E70178" w:rsidRDefault="00000000">
      <w:pPr>
        <w:numPr>
          <w:ilvl w:val="3"/>
          <w:numId w:val="1"/>
        </w:numPr>
        <w:spacing w:line="360" w:lineRule="auto"/>
      </w:pPr>
      <w:r>
        <w:rPr>
          <w:sz w:val="18"/>
          <w:szCs w:val="18"/>
        </w:rPr>
        <w:t xml:space="preserve">Check the condition of the peristaltic pump tubing. If the section which is stretched over the pump is flattened, try the adjacent section. If both sections are flattened, replace the tubing. </w:t>
      </w:r>
      <w:r>
        <w:rPr>
          <w:sz w:val="16"/>
          <w:szCs w:val="16"/>
        </w:rPr>
        <w:t>(The peristaltic pump tubing is color coded by three plastic stops: orange – yellow - orange. One can place either the section of tubing between the first (orange) and second (yellow) stops or that between the second (yellow) and third (orange) stops over the pump drum. The lifetime of the tubing can be extended by using one section and then the other. For new tubing, start with the first (orange) and second (yellow).)</w:t>
      </w:r>
    </w:p>
    <w:p w14:paraId="1F589D07" w14:textId="77777777" w:rsidR="00E70178" w:rsidRDefault="00000000">
      <w:pPr>
        <w:numPr>
          <w:ilvl w:val="3"/>
          <w:numId w:val="1"/>
        </w:numPr>
        <w:spacing w:line="360" w:lineRule="auto"/>
      </w:pPr>
      <w:r>
        <w:rPr>
          <w:sz w:val="18"/>
          <w:szCs w:val="18"/>
        </w:rPr>
        <w:t>Connect tubes/ tension on peristaltic pump (confirm that sample and drain tubes are in the correct direction for the pump). The pump turns clockwise so the ends of the tubing going into the Nebulizer and into the Waste container need to be on the right side of the pump, as shown below.</w:t>
      </w:r>
    </w:p>
    <w:p w14:paraId="258CE139" w14:textId="77777777" w:rsidR="00E70178" w:rsidRDefault="00000000">
      <w:pPr>
        <w:numPr>
          <w:ilvl w:val="3"/>
          <w:numId w:val="1"/>
        </w:numPr>
        <w:spacing w:line="360" w:lineRule="auto"/>
      </w:pPr>
      <w:r>
        <w:rPr>
          <w:sz w:val="18"/>
          <w:szCs w:val="18"/>
        </w:rPr>
        <w:t xml:space="preserve">Place the tube clips into the holders on </w:t>
      </w:r>
      <w:proofErr w:type="gramStart"/>
      <w:r>
        <w:rPr>
          <w:sz w:val="18"/>
          <w:szCs w:val="18"/>
        </w:rPr>
        <w:t>the both</w:t>
      </w:r>
      <w:proofErr w:type="gramEnd"/>
      <w:r>
        <w:rPr>
          <w:sz w:val="18"/>
          <w:szCs w:val="18"/>
        </w:rPr>
        <w:t xml:space="preserve"> sides of the pump to tension the tubing and then close the clamps.</w:t>
      </w:r>
    </w:p>
    <w:p w14:paraId="28A90CB8" w14:textId="77777777" w:rsidR="00E70178" w:rsidRDefault="00000000">
      <w:pPr>
        <w:spacing w:after="200" w:line="259" w:lineRule="auto"/>
        <w:ind w:left="720"/>
        <w:rPr>
          <w:sz w:val="18"/>
          <w:szCs w:val="18"/>
        </w:rPr>
      </w:pPr>
      <w:r>
        <w:rPr>
          <w:noProof/>
          <w:sz w:val="18"/>
          <w:szCs w:val="18"/>
        </w:rPr>
        <w:lastRenderedPageBreak/>
        <w:drawing>
          <wp:inline distT="114300" distB="114300" distL="114300" distR="114300" wp14:anchorId="08F15A13" wp14:editId="2E1937DC">
            <wp:extent cx="5091113" cy="3926777"/>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l="28365" r="18651" b="27350"/>
                    <a:stretch>
                      <a:fillRect/>
                    </a:stretch>
                  </pic:blipFill>
                  <pic:spPr>
                    <a:xfrm>
                      <a:off x="0" y="0"/>
                      <a:ext cx="5091113" cy="3926777"/>
                    </a:xfrm>
                    <a:prstGeom prst="rect">
                      <a:avLst/>
                    </a:prstGeom>
                    <a:ln/>
                  </pic:spPr>
                </pic:pic>
              </a:graphicData>
            </a:graphic>
          </wp:inline>
        </w:drawing>
      </w:r>
    </w:p>
    <w:p w14:paraId="7859AD7B" w14:textId="77777777" w:rsidR="00E70178" w:rsidRDefault="00000000">
      <w:pPr>
        <w:spacing w:after="200" w:line="259" w:lineRule="auto"/>
        <w:ind w:left="720"/>
        <w:rPr>
          <w:b/>
          <w:sz w:val="20"/>
          <w:szCs w:val="20"/>
        </w:rPr>
      </w:pPr>
      <w:r>
        <w:rPr>
          <w:b/>
          <w:sz w:val="20"/>
          <w:szCs w:val="20"/>
        </w:rPr>
        <w:t>Figure 1. Peristaltic Pump Orientation</w:t>
      </w:r>
    </w:p>
    <w:p w14:paraId="23614232" w14:textId="77777777" w:rsidR="00E70178" w:rsidRDefault="00000000">
      <w:pPr>
        <w:numPr>
          <w:ilvl w:val="1"/>
          <w:numId w:val="1"/>
        </w:numPr>
        <w:spacing w:line="360" w:lineRule="auto"/>
        <w:rPr>
          <w:b/>
        </w:rPr>
      </w:pPr>
      <w:r>
        <w:rPr>
          <w:b/>
        </w:rPr>
        <w:t>Turning on the Plasma</w:t>
      </w:r>
    </w:p>
    <w:p w14:paraId="43C10549" w14:textId="19A89E48" w:rsidR="00E70178" w:rsidRDefault="00C65434" w:rsidP="00C65434">
      <w:pPr>
        <w:spacing w:line="360" w:lineRule="auto"/>
        <w:ind w:left="720" w:firstLine="720"/>
        <w:rPr>
          <w:b/>
        </w:rPr>
      </w:pPr>
      <w:r>
        <w:rPr>
          <w:b/>
          <w:sz w:val="18"/>
          <w:szCs w:val="18"/>
        </w:rPr>
        <w:t xml:space="preserve">4.3.1 </w:t>
      </w:r>
      <w:r>
        <w:rPr>
          <w:b/>
          <w:sz w:val="18"/>
          <w:szCs w:val="18"/>
        </w:rPr>
        <w:tab/>
        <w:t xml:space="preserve">Open the Instrument Control and </w:t>
      </w:r>
      <w:proofErr w:type="gramStart"/>
      <w:r>
        <w:rPr>
          <w:b/>
          <w:sz w:val="18"/>
          <w:szCs w:val="18"/>
        </w:rPr>
        <w:t>Camera(</w:t>
      </w:r>
      <w:proofErr w:type="gramEnd"/>
      <w:r>
        <w:rPr>
          <w:b/>
          <w:sz w:val="18"/>
          <w:szCs w:val="18"/>
        </w:rPr>
        <w:t>to see the plasma) programs on the Desktop</w:t>
      </w:r>
    </w:p>
    <w:p w14:paraId="5EF49583" w14:textId="77777777" w:rsidR="00E70178" w:rsidRDefault="00000000">
      <w:pPr>
        <w:numPr>
          <w:ilvl w:val="2"/>
          <w:numId w:val="1"/>
        </w:numPr>
        <w:spacing w:line="360" w:lineRule="auto"/>
        <w:rPr>
          <w:b/>
        </w:rPr>
      </w:pPr>
      <w:r>
        <w:rPr>
          <w:b/>
          <w:sz w:val="18"/>
          <w:szCs w:val="18"/>
        </w:rPr>
        <w:t>In Instrument Control, go to the Control Panel, on the left side.</w:t>
      </w:r>
    </w:p>
    <w:p w14:paraId="6818B42E" w14:textId="77777777" w:rsidR="00E70178" w:rsidRDefault="00000000">
      <w:pPr>
        <w:numPr>
          <w:ilvl w:val="2"/>
          <w:numId w:val="1"/>
        </w:numPr>
        <w:spacing w:line="360" w:lineRule="auto"/>
        <w:rPr>
          <w:b/>
          <w:sz w:val="18"/>
          <w:szCs w:val="18"/>
        </w:rPr>
      </w:pPr>
      <w:r>
        <w:rPr>
          <w:b/>
          <w:sz w:val="18"/>
          <w:szCs w:val="18"/>
        </w:rPr>
        <w:t>Select the Inlet panel.</w:t>
      </w:r>
    </w:p>
    <w:p w14:paraId="16C530A4" w14:textId="77777777" w:rsidR="00E70178" w:rsidRDefault="00000000">
      <w:pPr>
        <w:numPr>
          <w:ilvl w:val="3"/>
          <w:numId w:val="1"/>
        </w:numPr>
        <w:spacing w:line="360" w:lineRule="auto"/>
        <w:rPr>
          <w:sz w:val="18"/>
          <w:szCs w:val="18"/>
        </w:rPr>
      </w:pPr>
      <w:r>
        <w:rPr>
          <w:sz w:val="18"/>
          <w:szCs w:val="18"/>
        </w:rPr>
        <w:t>Ensure that the Peristaltic Pump Speed is set to 20 rpm.</w:t>
      </w:r>
    </w:p>
    <w:p w14:paraId="25E7B495" w14:textId="77777777" w:rsidR="00E70178" w:rsidRDefault="00000000">
      <w:pPr>
        <w:numPr>
          <w:ilvl w:val="3"/>
          <w:numId w:val="1"/>
        </w:numPr>
        <w:spacing w:line="360" w:lineRule="auto"/>
        <w:rPr>
          <w:sz w:val="18"/>
          <w:szCs w:val="18"/>
        </w:rPr>
      </w:pPr>
      <w:r>
        <w:rPr>
          <w:sz w:val="18"/>
          <w:szCs w:val="18"/>
        </w:rPr>
        <w:t>Press the Peristaltic Pump On button.</w:t>
      </w:r>
    </w:p>
    <w:p w14:paraId="45078A07" w14:textId="77777777" w:rsidR="00E70178" w:rsidRDefault="00000000">
      <w:pPr>
        <w:numPr>
          <w:ilvl w:val="2"/>
          <w:numId w:val="1"/>
        </w:numPr>
        <w:spacing w:line="360" w:lineRule="auto"/>
        <w:rPr>
          <w:b/>
          <w:sz w:val="18"/>
          <w:szCs w:val="18"/>
        </w:rPr>
      </w:pPr>
      <w:r>
        <w:rPr>
          <w:b/>
          <w:sz w:val="18"/>
          <w:szCs w:val="18"/>
        </w:rPr>
        <w:t xml:space="preserve">Click on Experiment Configuration in the Instrument Control menu bar and select </w:t>
      </w:r>
      <w:proofErr w:type="spellStart"/>
      <w:proofErr w:type="gramStart"/>
      <w:r>
        <w:rPr>
          <w:b/>
          <w:sz w:val="18"/>
          <w:szCs w:val="18"/>
        </w:rPr>
        <w:t>iCAP</w:t>
      </w:r>
      <w:proofErr w:type="spellEnd"/>
      <w:proofErr w:type="gramEnd"/>
    </w:p>
    <w:p w14:paraId="4D46F679" w14:textId="77777777" w:rsidR="00E70178" w:rsidRDefault="00000000">
      <w:pPr>
        <w:numPr>
          <w:ilvl w:val="2"/>
          <w:numId w:val="1"/>
        </w:numPr>
        <w:spacing w:line="360" w:lineRule="auto"/>
        <w:rPr>
          <w:b/>
          <w:sz w:val="18"/>
          <w:szCs w:val="18"/>
        </w:rPr>
      </w:pPr>
      <w:r>
        <w:rPr>
          <w:b/>
          <w:sz w:val="18"/>
          <w:szCs w:val="18"/>
        </w:rPr>
        <w:t xml:space="preserve">Select the ESI SC-4DX tab, which should appear to the right of the </w:t>
      </w:r>
      <w:proofErr w:type="spellStart"/>
      <w:r>
        <w:rPr>
          <w:b/>
          <w:sz w:val="18"/>
          <w:szCs w:val="18"/>
        </w:rPr>
        <w:t>iCAP</w:t>
      </w:r>
      <w:proofErr w:type="spellEnd"/>
      <w:r>
        <w:rPr>
          <w:b/>
          <w:sz w:val="18"/>
          <w:szCs w:val="18"/>
        </w:rPr>
        <w:t xml:space="preserve"> tab.</w:t>
      </w:r>
    </w:p>
    <w:p w14:paraId="366A682F" w14:textId="77777777" w:rsidR="00E70178" w:rsidRDefault="00000000">
      <w:pPr>
        <w:numPr>
          <w:ilvl w:val="3"/>
          <w:numId w:val="1"/>
        </w:numPr>
        <w:spacing w:line="360" w:lineRule="auto"/>
        <w:rPr>
          <w:sz w:val="18"/>
          <w:szCs w:val="18"/>
        </w:rPr>
      </w:pPr>
      <w:r>
        <w:rPr>
          <w:sz w:val="18"/>
          <w:szCs w:val="18"/>
        </w:rPr>
        <w:t>Select Tools: Initialize and wait for initialization to complete.</w:t>
      </w:r>
    </w:p>
    <w:p w14:paraId="2B2B9FF4" w14:textId="77777777" w:rsidR="00E70178" w:rsidRDefault="00000000">
      <w:pPr>
        <w:numPr>
          <w:ilvl w:val="2"/>
          <w:numId w:val="1"/>
        </w:numPr>
        <w:spacing w:line="360" w:lineRule="auto"/>
        <w:rPr>
          <w:b/>
        </w:rPr>
      </w:pPr>
      <w:r>
        <w:rPr>
          <w:b/>
          <w:sz w:val="18"/>
          <w:szCs w:val="18"/>
        </w:rPr>
        <w:t>Ignite the plasma as follows.</w:t>
      </w:r>
    </w:p>
    <w:p w14:paraId="43A4150E" w14:textId="77777777" w:rsidR="00E70178" w:rsidRDefault="00000000">
      <w:pPr>
        <w:numPr>
          <w:ilvl w:val="3"/>
          <w:numId w:val="1"/>
        </w:numPr>
        <w:spacing w:line="360" w:lineRule="auto"/>
        <w:rPr>
          <w:sz w:val="18"/>
          <w:szCs w:val="18"/>
        </w:rPr>
      </w:pPr>
      <w:r>
        <w:rPr>
          <w:sz w:val="18"/>
          <w:szCs w:val="18"/>
        </w:rPr>
        <w:t xml:space="preserve">Click on </w:t>
      </w:r>
      <w:proofErr w:type="spellStart"/>
      <w:r>
        <w:rPr>
          <w:sz w:val="18"/>
          <w:szCs w:val="18"/>
        </w:rPr>
        <w:t>iCAP</w:t>
      </w:r>
      <w:proofErr w:type="spellEnd"/>
      <w:r>
        <w:rPr>
          <w:sz w:val="18"/>
          <w:szCs w:val="18"/>
        </w:rPr>
        <w:t xml:space="preserve"> in the Instrument Control menu bar. The </w:t>
      </w:r>
      <w:proofErr w:type="spellStart"/>
      <w:r>
        <w:rPr>
          <w:sz w:val="18"/>
          <w:szCs w:val="18"/>
        </w:rPr>
        <w:t>iCAP</w:t>
      </w:r>
      <w:proofErr w:type="spellEnd"/>
      <w:r>
        <w:rPr>
          <w:sz w:val="18"/>
          <w:szCs w:val="18"/>
        </w:rPr>
        <w:t xml:space="preserve"> ribbon should open.</w:t>
      </w:r>
    </w:p>
    <w:p w14:paraId="08C88385" w14:textId="77777777" w:rsidR="00E70178" w:rsidRDefault="00000000">
      <w:pPr>
        <w:numPr>
          <w:ilvl w:val="3"/>
          <w:numId w:val="1"/>
        </w:numPr>
        <w:spacing w:line="360" w:lineRule="auto"/>
        <w:rPr>
          <w:sz w:val="18"/>
          <w:szCs w:val="18"/>
        </w:rPr>
      </w:pPr>
      <w:r>
        <w:rPr>
          <w:sz w:val="18"/>
          <w:szCs w:val="18"/>
        </w:rPr>
        <w:t xml:space="preserve">Press the </w:t>
      </w:r>
      <w:proofErr w:type="gramStart"/>
      <w:r>
        <w:rPr>
          <w:sz w:val="18"/>
          <w:szCs w:val="18"/>
        </w:rPr>
        <w:t>On</w:t>
      </w:r>
      <w:proofErr w:type="gramEnd"/>
      <w:r>
        <w:rPr>
          <w:sz w:val="18"/>
          <w:szCs w:val="18"/>
        </w:rPr>
        <w:t xml:space="preserve"> button in the Control group on the </w:t>
      </w:r>
      <w:proofErr w:type="spellStart"/>
      <w:r>
        <w:rPr>
          <w:sz w:val="18"/>
          <w:szCs w:val="18"/>
        </w:rPr>
        <w:t>iCAP</w:t>
      </w:r>
      <w:proofErr w:type="spellEnd"/>
      <w:r>
        <w:rPr>
          <w:sz w:val="18"/>
          <w:szCs w:val="18"/>
        </w:rPr>
        <w:t xml:space="preserve"> ribbon</w:t>
      </w:r>
    </w:p>
    <w:p w14:paraId="0F6A3918" w14:textId="77777777" w:rsidR="00E70178" w:rsidRDefault="00000000">
      <w:pPr>
        <w:numPr>
          <w:ilvl w:val="3"/>
          <w:numId w:val="1"/>
        </w:numPr>
        <w:spacing w:line="360" w:lineRule="auto"/>
        <w:rPr>
          <w:sz w:val="18"/>
          <w:szCs w:val="18"/>
        </w:rPr>
      </w:pPr>
      <w:r>
        <w:rPr>
          <w:sz w:val="18"/>
          <w:szCs w:val="18"/>
        </w:rPr>
        <w:t>At the prompt, confirm that you wish to ignite the plasma. The plasma ignition process should commence. Its progress may be observed in the log window.</w:t>
      </w:r>
    </w:p>
    <w:p w14:paraId="791D14E6" w14:textId="77777777" w:rsidR="00E70178" w:rsidRDefault="00000000">
      <w:pPr>
        <w:numPr>
          <w:ilvl w:val="3"/>
          <w:numId w:val="1"/>
        </w:numPr>
        <w:spacing w:line="360" w:lineRule="auto"/>
        <w:rPr>
          <w:sz w:val="18"/>
          <w:szCs w:val="18"/>
        </w:rPr>
      </w:pPr>
      <w:r>
        <w:rPr>
          <w:sz w:val="18"/>
          <w:szCs w:val="18"/>
        </w:rPr>
        <w:t>Flickering once or twice during the first second or two is normal. If flickering continues for more than 5 s, extinguish the plasma rapidly.</w:t>
      </w:r>
    </w:p>
    <w:p w14:paraId="6BB7AAD2" w14:textId="77777777" w:rsidR="00E70178" w:rsidRDefault="00000000">
      <w:pPr>
        <w:numPr>
          <w:ilvl w:val="3"/>
          <w:numId w:val="1"/>
        </w:numPr>
        <w:spacing w:line="360" w:lineRule="auto"/>
        <w:rPr>
          <w:sz w:val="18"/>
          <w:szCs w:val="18"/>
        </w:rPr>
      </w:pPr>
      <w:r>
        <w:rPr>
          <w:sz w:val="18"/>
          <w:szCs w:val="18"/>
        </w:rPr>
        <w:lastRenderedPageBreak/>
        <w:t>Wait for the message "Operate" to appear in the Log View window, indicating that the start-up procedure has completed successfully.</w:t>
      </w:r>
    </w:p>
    <w:p w14:paraId="00213075" w14:textId="77777777" w:rsidR="00E70178" w:rsidRDefault="00000000">
      <w:pPr>
        <w:numPr>
          <w:ilvl w:val="2"/>
          <w:numId w:val="1"/>
        </w:numPr>
        <w:spacing w:line="360" w:lineRule="auto"/>
        <w:rPr>
          <w:b/>
        </w:rPr>
      </w:pPr>
      <w:r>
        <w:rPr>
          <w:b/>
          <w:sz w:val="18"/>
          <w:szCs w:val="18"/>
        </w:rPr>
        <w:t xml:space="preserve">Press the Run button in the Control group on the </w:t>
      </w:r>
      <w:proofErr w:type="spellStart"/>
      <w:r>
        <w:rPr>
          <w:b/>
          <w:sz w:val="18"/>
          <w:szCs w:val="18"/>
        </w:rPr>
        <w:t>iCAP</w:t>
      </w:r>
      <w:proofErr w:type="spellEnd"/>
      <w:r>
        <w:rPr>
          <w:b/>
          <w:sz w:val="18"/>
          <w:szCs w:val="18"/>
        </w:rPr>
        <w:t xml:space="preserve"> ribbon.</w:t>
      </w:r>
    </w:p>
    <w:p w14:paraId="144C96DA" w14:textId="77777777" w:rsidR="00E70178" w:rsidRDefault="00000000">
      <w:pPr>
        <w:numPr>
          <w:ilvl w:val="2"/>
          <w:numId w:val="1"/>
        </w:numPr>
        <w:spacing w:line="360" w:lineRule="auto"/>
        <w:rPr>
          <w:b/>
        </w:rPr>
      </w:pPr>
      <w:r>
        <w:rPr>
          <w:b/>
          <w:sz w:val="18"/>
          <w:szCs w:val="18"/>
        </w:rPr>
        <w:t>Open the Data Display window to display the real-time measurements. In the display, the following notation is used:</w:t>
      </w:r>
    </w:p>
    <w:p w14:paraId="5943F253" w14:textId="77777777" w:rsidR="00E70178" w:rsidRDefault="00000000">
      <w:pPr>
        <w:numPr>
          <w:ilvl w:val="3"/>
          <w:numId w:val="1"/>
        </w:numPr>
        <w:spacing w:line="360" w:lineRule="auto"/>
        <w:rPr>
          <w:sz w:val="18"/>
          <w:szCs w:val="18"/>
        </w:rPr>
      </w:pPr>
      <w:r>
        <w:rPr>
          <w:sz w:val="18"/>
          <w:szCs w:val="18"/>
        </w:rPr>
        <w:t>Doubly charged = 137Ba++:137Ba+ ratio.</w:t>
      </w:r>
    </w:p>
    <w:p w14:paraId="1EB44D27" w14:textId="77777777" w:rsidR="00E70178" w:rsidRDefault="00000000">
      <w:pPr>
        <w:numPr>
          <w:ilvl w:val="3"/>
          <w:numId w:val="1"/>
        </w:numPr>
        <w:spacing w:line="360" w:lineRule="auto"/>
        <w:rPr>
          <w:sz w:val="18"/>
          <w:szCs w:val="18"/>
        </w:rPr>
      </w:pPr>
      <w:r>
        <w:rPr>
          <w:sz w:val="18"/>
          <w:szCs w:val="18"/>
        </w:rPr>
        <w:t>Oxides = 140CeO+:140Ce+</w:t>
      </w:r>
    </w:p>
    <w:p w14:paraId="0600858C" w14:textId="77777777" w:rsidR="00E70178" w:rsidRDefault="00000000">
      <w:pPr>
        <w:numPr>
          <w:ilvl w:val="3"/>
          <w:numId w:val="1"/>
        </w:numPr>
        <w:spacing w:line="360" w:lineRule="auto"/>
        <w:rPr>
          <w:sz w:val="18"/>
          <w:szCs w:val="18"/>
        </w:rPr>
      </w:pPr>
      <w:r>
        <w:rPr>
          <w:sz w:val="18"/>
          <w:szCs w:val="18"/>
        </w:rPr>
        <w:t>KED = 59Co+:35Cl 16O+ ratio. It is desirable for it to be high.</w:t>
      </w:r>
    </w:p>
    <w:p w14:paraId="5D0FFE0F" w14:textId="77777777" w:rsidR="00E70178" w:rsidRDefault="00000000">
      <w:pPr>
        <w:numPr>
          <w:ilvl w:val="2"/>
          <w:numId w:val="1"/>
        </w:numPr>
        <w:spacing w:line="360" w:lineRule="auto"/>
        <w:rPr>
          <w:b/>
          <w:sz w:val="18"/>
          <w:szCs w:val="18"/>
        </w:rPr>
      </w:pPr>
      <w:r>
        <w:rPr>
          <w:b/>
          <w:sz w:val="18"/>
          <w:szCs w:val="18"/>
        </w:rPr>
        <w:t xml:space="preserve">In the </w:t>
      </w:r>
      <w:proofErr w:type="spellStart"/>
      <w:r>
        <w:rPr>
          <w:b/>
          <w:sz w:val="18"/>
          <w:szCs w:val="18"/>
        </w:rPr>
        <w:t>iCAP</w:t>
      </w:r>
      <w:proofErr w:type="spellEnd"/>
      <w:r>
        <w:rPr>
          <w:b/>
          <w:sz w:val="18"/>
          <w:szCs w:val="18"/>
        </w:rPr>
        <w:t xml:space="preserve"> ribbon, go to the Measurement mode group, and select the STD mode in the </w:t>
      </w:r>
      <w:proofErr w:type="gramStart"/>
      <w:r>
        <w:rPr>
          <w:b/>
          <w:sz w:val="18"/>
          <w:szCs w:val="18"/>
        </w:rPr>
        <w:t>Select</w:t>
      </w:r>
      <w:proofErr w:type="gramEnd"/>
    </w:p>
    <w:p w14:paraId="49927A1D" w14:textId="77777777" w:rsidR="00E70178" w:rsidRDefault="00000000">
      <w:pPr>
        <w:numPr>
          <w:ilvl w:val="2"/>
          <w:numId w:val="1"/>
        </w:numPr>
        <w:spacing w:line="360" w:lineRule="auto"/>
        <w:rPr>
          <w:b/>
          <w:sz w:val="18"/>
          <w:szCs w:val="18"/>
        </w:rPr>
      </w:pPr>
      <w:r>
        <w:rPr>
          <w:b/>
          <w:sz w:val="18"/>
          <w:szCs w:val="18"/>
        </w:rPr>
        <w:t>Wait 30 min to allow the system to stabilize and, if required, the collision/reaction cell gas lines to be purged.</w:t>
      </w:r>
    </w:p>
    <w:p w14:paraId="13637D42" w14:textId="77777777" w:rsidR="00E70178" w:rsidRDefault="00000000">
      <w:pPr>
        <w:numPr>
          <w:ilvl w:val="3"/>
          <w:numId w:val="1"/>
        </w:numPr>
        <w:spacing w:line="360" w:lineRule="auto"/>
        <w:rPr>
          <w:sz w:val="18"/>
          <w:szCs w:val="18"/>
        </w:rPr>
      </w:pPr>
      <w:r>
        <w:rPr>
          <w:sz w:val="18"/>
          <w:szCs w:val="18"/>
        </w:rPr>
        <w:t>For a clean system with 2% HNO3 flowing, the 238U intensity should be ~ 20 c/</w:t>
      </w:r>
      <w:proofErr w:type="gramStart"/>
      <w:r>
        <w:rPr>
          <w:sz w:val="18"/>
          <w:szCs w:val="18"/>
        </w:rPr>
        <w:t>s</w:t>
      </w:r>
      <w:proofErr w:type="gramEnd"/>
    </w:p>
    <w:p w14:paraId="6AC914D5" w14:textId="77777777" w:rsidR="00E70178" w:rsidRDefault="00000000">
      <w:pPr>
        <w:numPr>
          <w:ilvl w:val="3"/>
          <w:numId w:val="1"/>
        </w:numPr>
        <w:spacing w:line="360" w:lineRule="auto"/>
        <w:rPr>
          <w:sz w:val="18"/>
          <w:szCs w:val="18"/>
        </w:rPr>
      </w:pPr>
      <w:r>
        <w:rPr>
          <w:rFonts w:ascii="Arial Unicode MS" w:eastAsia="Arial Unicode MS" w:hAnsi="Arial Unicode MS" w:cs="Arial Unicode MS"/>
          <w:sz w:val="18"/>
          <w:szCs w:val="18"/>
        </w:rPr>
        <w:t>RSDs in the real-time display are typically higher than in measurements because only 10 sweeps are used. RSD ≤ 5% is good.</w:t>
      </w:r>
    </w:p>
    <w:p w14:paraId="3F3110A3" w14:textId="77777777" w:rsidR="00E70178" w:rsidRDefault="00000000">
      <w:pPr>
        <w:numPr>
          <w:ilvl w:val="1"/>
          <w:numId w:val="1"/>
        </w:numPr>
        <w:spacing w:line="360" w:lineRule="auto"/>
        <w:rPr>
          <w:b/>
        </w:rPr>
      </w:pPr>
      <w:r>
        <w:rPr>
          <w:b/>
        </w:rPr>
        <w:t>Performance Report Testing</w:t>
      </w:r>
    </w:p>
    <w:p w14:paraId="58580E5C" w14:textId="7592D502" w:rsidR="00E70178" w:rsidRDefault="00000000">
      <w:pPr>
        <w:numPr>
          <w:ilvl w:val="2"/>
          <w:numId w:val="1"/>
        </w:numPr>
        <w:spacing w:line="360" w:lineRule="auto"/>
        <w:rPr>
          <w:b/>
        </w:rPr>
      </w:pPr>
      <w:r>
        <w:rPr>
          <w:b/>
          <w:sz w:val="18"/>
          <w:szCs w:val="18"/>
        </w:rPr>
        <w:t xml:space="preserve">A built-in set of performance tests allows one to check whether the </w:t>
      </w:r>
      <w:proofErr w:type="spellStart"/>
      <w:r>
        <w:rPr>
          <w:b/>
          <w:sz w:val="18"/>
          <w:szCs w:val="18"/>
        </w:rPr>
        <w:t>iCAP</w:t>
      </w:r>
      <w:proofErr w:type="spellEnd"/>
      <w:r>
        <w:rPr>
          <w:b/>
          <w:sz w:val="18"/>
          <w:szCs w:val="18"/>
        </w:rPr>
        <w:t xml:space="preserve"> Q meets specifications for a specific measurement mode.</w:t>
      </w:r>
    </w:p>
    <w:p w14:paraId="452BD4C2" w14:textId="77777777" w:rsidR="00E70178" w:rsidRDefault="00000000">
      <w:pPr>
        <w:numPr>
          <w:ilvl w:val="2"/>
          <w:numId w:val="1"/>
        </w:numPr>
        <w:spacing w:line="360" w:lineRule="auto"/>
        <w:rPr>
          <w:b/>
          <w:sz w:val="18"/>
          <w:szCs w:val="18"/>
        </w:rPr>
      </w:pPr>
      <w:r>
        <w:rPr>
          <w:b/>
          <w:sz w:val="18"/>
          <w:szCs w:val="18"/>
        </w:rPr>
        <w:t>This section describes how to run the performance tests. It is assumed that the plasma has been ignited, the manual sample probes are in the rinse solution, and the system has stabilized (15-30 min after ignition).</w:t>
      </w:r>
    </w:p>
    <w:p w14:paraId="3D8E018D" w14:textId="77777777" w:rsidR="00E70178" w:rsidRDefault="00000000">
      <w:pPr>
        <w:numPr>
          <w:ilvl w:val="2"/>
          <w:numId w:val="1"/>
        </w:numPr>
        <w:spacing w:line="360" w:lineRule="auto"/>
        <w:rPr>
          <w:b/>
          <w:sz w:val="18"/>
          <w:szCs w:val="18"/>
        </w:rPr>
      </w:pPr>
      <w:r>
        <w:rPr>
          <w:b/>
          <w:sz w:val="18"/>
          <w:szCs w:val="18"/>
        </w:rPr>
        <w:t xml:space="preserve">Ensure that the </w:t>
      </w:r>
      <w:proofErr w:type="spellStart"/>
      <w:r>
        <w:rPr>
          <w:b/>
          <w:sz w:val="18"/>
          <w:szCs w:val="18"/>
        </w:rPr>
        <w:t>iCAP</w:t>
      </w:r>
      <w:proofErr w:type="spellEnd"/>
      <w:r>
        <w:rPr>
          <w:b/>
          <w:sz w:val="18"/>
          <w:szCs w:val="18"/>
        </w:rPr>
        <w:t xml:space="preserve"> ribbon is open. If it is not, click on </w:t>
      </w:r>
      <w:proofErr w:type="spellStart"/>
      <w:r>
        <w:rPr>
          <w:b/>
          <w:sz w:val="18"/>
          <w:szCs w:val="18"/>
        </w:rPr>
        <w:t>iCAP</w:t>
      </w:r>
      <w:proofErr w:type="spellEnd"/>
      <w:r>
        <w:rPr>
          <w:b/>
          <w:sz w:val="18"/>
          <w:szCs w:val="18"/>
        </w:rPr>
        <w:t xml:space="preserve"> in the Instrument Control menu bar. The </w:t>
      </w:r>
      <w:proofErr w:type="spellStart"/>
      <w:r>
        <w:rPr>
          <w:b/>
          <w:sz w:val="18"/>
          <w:szCs w:val="18"/>
        </w:rPr>
        <w:t>iCAP</w:t>
      </w:r>
      <w:proofErr w:type="spellEnd"/>
      <w:r>
        <w:rPr>
          <w:b/>
          <w:sz w:val="18"/>
          <w:szCs w:val="18"/>
        </w:rPr>
        <w:t xml:space="preserve"> ribbon should open.</w:t>
      </w:r>
    </w:p>
    <w:p w14:paraId="0BDE475B" w14:textId="77777777" w:rsidR="00E70178" w:rsidRDefault="00000000">
      <w:pPr>
        <w:numPr>
          <w:ilvl w:val="2"/>
          <w:numId w:val="1"/>
        </w:numPr>
        <w:spacing w:line="360" w:lineRule="auto"/>
        <w:rPr>
          <w:b/>
          <w:sz w:val="18"/>
          <w:szCs w:val="18"/>
        </w:rPr>
      </w:pPr>
      <w:r>
        <w:rPr>
          <w:b/>
          <w:sz w:val="18"/>
          <w:szCs w:val="18"/>
        </w:rPr>
        <w:t xml:space="preserve">Place sample probe in the </w:t>
      </w:r>
      <w:proofErr w:type="spellStart"/>
      <w:r>
        <w:rPr>
          <w:b/>
          <w:sz w:val="18"/>
          <w:szCs w:val="18"/>
        </w:rPr>
        <w:t>iCAP</w:t>
      </w:r>
      <w:proofErr w:type="spellEnd"/>
      <w:r>
        <w:rPr>
          <w:b/>
          <w:sz w:val="18"/>
          <w:szCs w:val="18"/>
        </w:rPr>
        <w:t xml:space="preserve"> Q Tune solution.</w:t>
      </w:r>
    </w:p>
    <w:p w14:paraId="69642C52" w14:textId="77777777" w:rsidR="00E70178" w:rsidRDefault="00000000">
      <w:pPr>
        <w:numPr>
          <w:ilvl w:val="2"/>
          <w:numId w:val="1"/>
        </w:numPr>
        <w:spacing w:line="360" w:lineRule="auto"/>
        <w:rPr>
          <w:b/>
          <w:sz w:val="18"/>
          <w:szCs w:val="18"/>
        </w:rPr>
      </w:pPr>
      <w:r>
        <w:rPr>
          <w:b/>
          <w:sz w:val="18"/>
          <w:szCs w:val="18"/>
        </w:rPr>
        <w:t>Observe the Data Display window.</w:t>
      </w:r>
    </w:p>
    <w:p w14:paraId="430543D2" w14:textId="77777777" w:rsidR="00E70178" w:rsidRDefault="00000000">
      <w:pPr>
        <w:numPr>
          <w:ilvl w:val="2"/>
          <w:numId w:val="1"/>
        </w:numPr>
        <w:spacing w:line="360" w:lineRule="auto"/>
        <w:rPr>
          <w:b/>
          <w:sz w:val="18"/>
          <w:szCs w:val="18"/>
        </w:rPr>
      </w:pPr>
      <w:r>
        <w:rPr>
          <w:b/>
          <w:sz w:val="18"/>
          <w:szCs w:val="18"/>
        </w:rPr>
        <w:t>After 80 s, the intensities of the selected analytes should rise sharply and continue to increase over 20 s. (Ba, Bi, Ce, Co, In, Li, U)</w:t>
      </w:r>
    </w:p>
    <w:p w14:paraId="3C0796B2" w14:textId="77777777" w:rsidR="00E70178" w:rsidRDefault="00000000">
      <w:pPr>
        <w:numPr>
          <w:ilvl w:val="2"/>
          <w:numId w:val="1"/>
        </w:numPr>
        <w:spacing w:line="360" w:lineRule="auto"/>
        <w:rPr>
          <w:b/>
          <w:sz w:val="18"/>
          <w:szCs w:val="18"/>
        </w:rPr>
      </w:pPr>
      <w:r>
        <w:rPr>
          <w:b/>
          <w:sz w:val="18"/>
          <w:szCs w:val="18"/>
        </w:rPr>
        <w:t>In STD mode, intensities should be ~ 105 c/s (if intensities are low, the cones may need to be cleaned)</w:t>
      </w:r>
    </w:p>
    <w:p w14:paraId="0A2D087A" w14:textId="77777777" w:rsidR="00E70178" w:rsidRDefault="00000000">
      <w:pPr>
        <w:numPr>
          <w:ilvl w:val="2"/>
          <w:numId w:val="1"/>
        </w:numPr>
        <w:spacing w:line="360" w:lineRule="auto"/>
        <w:rPr>
          <w:b/>
          <w:sz w:val="18"/>
          <w:szCs w:val="18"/>
        </w:rPr>
      </w:pPr>
      <w:r>
        <w:rPr>
          <w:b/>
          <w:sz w:val="18"/>
          <w:szCs w:val="18"/>
        </w:rPr>
        <w:t>In the Wizards group, select Performance Report. The Performance Report Wizard window should open.</w:t>
      </w:r>
    </w:p>
    <w:p w14:paraId="7CAAF3AD" w14:textId="77777777" w:rsidR="00E70178" w:rsidRDefault="00000000">
      <w:pPr>
        <w:numPr>
          <w:ilvl w:val="2"/>
          <w:numId w:val="1"/>
        </w:numPr>
        <w:spacing w:line="360" w:lineRule="auto"/>
        <w:rPr>
          <w:b/>
          <w:sz w:val="18"/>
          <w:szCs w:val="18"/>
        </w:rPr>
      </w:pPr>
      <w:r>
        <w:rPr>
          <w:b/>
          <w:sz w:val="18"/>
          <w:szCs w:val="18"/>
        </w:rPr>
        <w:t>Select Run Performance Report from active Measurement mode.</w:t>
      </w:r>
    </w:p>
    <w:p w14:paraId="45533F5D" w14:textId="77777777" w:rsidR="00E70178" w:rsidRDefault="00000000">
      <w:pPr>
        <w:numPr>
          <w:ilvl w:val="2"/>
          <w:numId w:val="1"/>
        </w:numPr>
        <w:spacing w:line="360" w:lineRule="auto"/>
        <w:rPr>
          <w:b/>
          <w:sz w:val="18"/>
          <w:szCs w:val="18"/>
        </w:rPr>
      </w:pPr>
      <w:r>
        <w:rPr>
          <w:b/>
          <w:sz w:val="18"/>
          <w:szCs w:val="18"/>
        </w:rPr>
        <w:t>You will be asked to confirm that the measurement probes are in the "1 ppb Tune in 2% HNO3 and 0.5% HCl" solution. Click Next to confirm. Performance tests should begin. About 10 min is required to complete the tests. When the tests are completed, a summary of the results of the tests will be displayed in the Performance Report Wizard window.</w:t>
      </w:r>
    </w:p>
    <w:p w14:paraId="25B2B505" w14:textId="77777777" w:rsidR="00E70178" w:rsidRDefault="00000000">
      <w:pPr>
        <w:numPr>
          <w:ilvl w:val="2"/>
          <w:numId w:val="1"/>
        </w:numPr>
        <w:spacing w:line="360" w:lineRule="auto"/>
        <w:rPr>
          <w:b/>
          <w:sz w:val="18"/>
          <w:szCs w:val="18"/>
        </w:rPr>
      </w:pPr>
      <w:r>
        <w:rPr>
          <w:b/>
          <w:sz w:val="18"/>
          <w:szCs w:val="18"/>
        </w:rPr>
        <w:t>In the Performance Report, observe whether all tests were passed.</w:t>
      </w:r>
    </w:p>
    <w:p w14:paraId="53D73950" w14:textId="77777777" w:rsidR="00E70178" w:rsidRDefault="00000000">
      <w:pPr>
        <w:numPr>
          <w:ilvl w:val="3"/>
          <w:numId w:val="1"/>
        </w:numPr>
        <w:spacing w:line="360" w:lineRule="auto"/>
        <w:rPr>
          <w:sz w:val="18"/>
          <w:szCs w:val="18"/>
        </w:rPr>
      </w:pPr>
      <w:r>
        <w:rPr>
          <w:sz w:val="18"/>
          <w:szCs w:val="18"/>
        </w:rPr>
        <w:t>If all tests were passed, move the probe to the rinse solution and proceed to making measurements.</w:t>
      </w:r>
    </w:p>
    <w:p w14:paraId="02BE8A42" w14:textId="77777777" w:rsidR="00E70178" w:rsidRDefault="00000000">
      <w:pPr>
        <w:numPr>
          <w:ilvl w:val="3"/>
          <w:numId w:val="1"/>
        </w:numPr>
        <w:spacing w:line="360" w:lineRule="auto"/>
        <w:rPr>
          <w:sz w:val="18"/>
          <w:szCs w:val="18"/>
        </w:rPr>
      </w:pPr>
      <w:r>
        <w:rPr>
          <w:sz w:val="18"/>
          <w:szCs w:val="18"/>
        </w:rPr>
        <w:lastRenderedPageBreak/>
        <w:t>If any test fails, carry out tuning, as described in Appendix 1. If Source Tune is performed promptly, the probe may be left in the tuning solution because it will be required for auto- tuning. Otherwise, move the probes to the rinse solution.</w:t>
      </w:r>
    </w:p>
    <w:p w14:paraId="62CAB16F" w14:textId="77777777" w:rsidR="00E70178" w:rsidRDefault="00000000">
      <w:pPr>
        <w:numPr>
          <w:ilvl w:val="1"/>
          <w:numId w:val="1"/>
        </w:numPr>
        <w:spacing w:line="360" w:lineRule="auto"/>
        <w:rPr>
          <w:b/>
        </w:rPr>
      </w:pPr>
      <w:r>
        <w:rPr>
          <w:b/>
        </w:rPr>
        <w:t xml:space="preserve">Creating a </w:t>
      </w:r>
      <w:proofErr w:type="spellStart"/>
      <w:r>
        <w:rPr>
          <w:b/>
        </w:rPr>
        <w:t>LabBook</w:t>
      </w:r>
      <w:proofErr w:type="spellEnd"/>
    </w:p>
    <w:p w14:paraId="1505D6A8" w14:textId="77777777" w:rsidR="00E70178" w:rsidRDefault="00000000">
      <w:pPr>
        <w:numPr>
          <w:ilvl w:val="2"/>
          <w:numId w:val="1"/>
        </w:numPr>
        <w:spacing w:line="360" w:lineRule="auto"/>
        <w:rPr>
          <w:b/>
        </w:rPr>
      </w:pPr>
      <w:r>
        <w:rPr>
          <w:b/>
          <w:sz w:val="18"/>
          <w:szCs w:val="18"/>
        </w:rPr>
        <w:t xml:space="preserve">Open </w:t>
      </w:r>
      <w:proofErr w:type="spellStart"/>
      <w:r>
        <w:rPr>
          <w:b/>
          <w:sz w:val="18"/>
          <w:szCs w:val="18"/>
        </w:rPr>
        <w:t>Qtegra</w:t>
      </w:r>
      <w:proofErr w:type="spellEnd"/>
      <w:r>
        <w:rPr>
          <w:b/>
          <w:sz w:val="18"/>
          <w:szCs w:val="18"/>
        </w:rPr>
        <w:t>. Normally, the Dashboard will be displayed. If not, select Home Page: Dashboard.</w:t>
      </w:r>
    </w:p>
    <w:p w14:paraId="1C08A1A8" w14:textId="77777777" w:rsidR="00E70178" w:rsidRDefault="00000000">
      <w:pPr>
        <w:numPr>
          <w:ilvl w:val="2"/>
          <w:numId w:val="1"/>
        </w:numPr>
        <w:spacing w:line="360" w:lineRule="auto"/>
        <w:rPr>
          <w:b/>
          <w:sz w:val="18"/>
          <w:szCs w:val="18"/>
        </w:rPr>
      </w:pPr>
      <w:r>
        <w:rPr>
          <w:b/>
          <w:sz w:val="18"/>
          <w:szCs w:val="18"/>
        </w:rPr>
        <w:t xml:space="preserve">Make sure the color of the </w:t>
      </w:r>
      <w:r>
        <w:rPr>
          <w:b/>
          <w:sz w:val="18"/>
          <w:szCs w:val="18"/>
          <w:u w:val="single"/>
        </w:rPr>
        <w:t>Get Ready</w:t>
      </w:r>
      <w:r>
        <w:rPr>
          <w:b/>
          <w:sz w:val="18"/>
          <w:szCs w:val="18"/>
        </w:rPr>
        <w:t xml:space="preserve"> button is Green.</w:t>
      </w:r>
    </w:p>
    <w:p w14:paraId="122E6D78" w14:textId="77777777" w:rsidR="00E70178" w:rsidRDefault="00000000">
      <w:pPr>
        <w:numPr>
          <w:ilvl w:val="2"/>
          <w:numId w:val="1"/>
        </w:numPr>
        <w:spacing w:line="360" w:lineRule="auto"/>
        <w:rPr>
          <w:b/>
          <w:sz w:val="18"/>
          <w:szCs w:val="18"/>
        </w:rPr>
      </w:pPr>
      <w:r>
        <w:rPr>
          <w:b/>
          <w:sz w:val="18"/>
          <w:szCs w:val="18"/>
        </w:rPr>
        <w:t xml:space="preserve">On the left pane, select </w:t>
      </w:r>
      <w:proofErr w:type="spellStart"/>
      <w:r>
        <w:rPr>
          <w:b/>
          <w:sz w:val="18"/>
          <w:szCs w:val="18"/>
        </w:rPr>
        <w:t>LabBooks</w:t>
      </w:r>
      <w:proofErr w:type="spellEnd"/>
      <w:r>
        <w:rPr>
          <w:b/>
          <w:sz w:val="18"/>
          <w:szCs w:val="18"/>
        </w:rPr>
        <w:t xml:space="preserve">. The </w:t>
      </w:r>
      <w:proofErr w:type="spellStart"/>
      <w:r>
        <w:rPr>
          <w:b/>
          <w:sz w:val="18"/>
          <w:szCs w:val="18"/>
        </w:rPr>
        <w:t>LabBooks</w:t>
      </w:r>
      <w:proofErr w:type="spellEnd"/>
      <w:r>
        <w:rPr>
          <w:b/>
          <w:sz w:val="18"/>
          <w:szCs w:val="18"/>
        </w:rPr>
        <w:t xml:space="preserve"> window should open, as shown in Figure 4.</w:t>
      </w:r>
    </w:p>
    <w:p w14:paraId="1A2A5A5B" w14:textId="77777777" w:rsidR="00E70178" w:rsidRDefault="00000000">
      <w:pPr>
        <w:numPr>
          <w:ilvl w:val="2"/>
          <w:numId w:val="1"/>
        </w:numPr>
        <w:spacing w:line="360" w:lineRule="auto"/>
        <w:rPr>
          <w:b/>
        </w:rPr>
      </w:pPr>
      <w:r>
        <w:rPr>
          <w:b/>
          <w:sz w:val="18"/>
          <w:szCs w:val="18"/>
        </w:rPr>
        <w:t xml:space="preserve">Select ‘Create from existing’ (if you want to copy the setup from a prior </w:t>
      </w:r>
      <w:proofErr w:type="spellStart"/>
      <w:r>
        <w:rPr>
          <w:b/>
          <w:sz w:val="18"/>
          <w:szCs w:val="18"/>
        </w:rPr>
        <w:t>LabBook</w:t>
      </w:r>
      <w:proofErr w:type="spellEnd"/>
      <w:r>
        <w:rPr>
          <w:b/>
          <w:sz w:val="18"/>
          <w:szCs w:val="18"/>
        </w:rPr>
        <w:t>), or ‘Create new’ (if you want to start new</w:t>
      </w:r>
      <w:proofErr w:type="gramStart"/>
      <w:r>
        <w:rPr>
          <w:b/>
          <w:sz w:val="18"/>
          <w:szCs w:val="18"/>
        </w:rPr>
        <w:t>), and</w:t>
      </w:r>
      <w:proofErr w:type="gramEnd"/>
      <w:r>
        <w:rPr>
          <w:b/>
          <w:sz w:val="18"/>
          <w:szCs w:val="18"/>
        </w:rPr>
        <w:t xml:space="preserve"> check the template option. Click [Create </w:t>
      </w:r>
      <w:proofErr w:type="spellStart"/>
      <w:r>
        <w:rPr>
          <w:b/>
          <w:sz w:val="18"/>
          <w:szCs w:val="18"/>
        </w:rPr>
        <w:t>LabBook</w:t>
      </w:r>
      <w:proofErr w:type="spellEnd"/>
      <w:r>
        <w:rPr>
          <w:b/>
          <w:sz w:val="18"/>
          <w:szCs w:val="18"/>
        </w:rPr>
        <w:t xml:space="preserve">] to create a new </w:t>
      </w:r>
      <w:proofErr w:type="spellStart"/>
      <w:proofErr w:type="gramStart"/>
      <w:r>
        <w:rPr>
          <w:b/>
          <w:sz w:val="18"/>
          <w:szCs w:val="18"/>
        </w:rPr>
        <w:t>LabBook</w:t>
      </w:r>
      <w:proofErr w:type="spellEnd"/>
      <w:r>
        <w:rPr>
          <w:b/>
          <w:sz w:val="18"/>
          <w:szCs w:val="18"/>
        </w:rPr>
        <w:t>, or</w:t>
      </w:r>
      <w:proofErr w:type="gramEnd"/>
      <w:r>
        <w:rPr>
          <w:b/>
          <w:sz w:val="18"/>
          <w:szCs w:val="18"/>
        </w:rPr>
        <w:t xml:space="preserve"> click [Open] to open an existing </w:t>
      </w:r>
      <w:proofErr w:type="spellStart"/>
      <w:r>
        <w:rPr>
          <w:b/>
          <w:sz w:val="18"/>
          <w:szCs w:val="18"/>
        </w:rPr>
        <w:t>LabBook</w:t>
      </w:r>
      <w:proofErr w:type="spellEnd"/>
      <w:r>
        <w:rPr>
          <w:b/>
          <w:sz w:val="18"/>
          <w:szCs w:val="18"/>
        </w:rPr>
        <w:t>. See Figure 4.</w:t>
      </w:r>
    </w:p>
    <w:p w14:paraId="65D90CA7" w14:textId="77777777" w:rsidR="00E70178" w:rsidRDefault="00000000">
      <w:pPr>
        <w:widowControl w:val="0"/>
        <w:spacing w:line="240" w:lineRule="auto"/>
        <w:ind w:left="250"/>
        <w:rPr>
          <w:sz w:val="18"/>
          <w:szCs w:val="18"/>
        </w:rPr>
      </w:pPr>
      <w:r>
        <w:rPr>
          <w:noProof/>
          <w:sz w:val="20"/>
          <w:szCs w:val="20"/>
        </w:rPr>
        <w:drawing>
          <wp:inline distT="0" distB="0" distL="0" distR="0" wp14:anchorId="1880CC2A" wp14:editId="2025278C">
            <wp:extent cx="5281613" cy="4138956"/>
            <wp:effectExtent l="0" t="0" r="0" b="0"/>
            <wp:docPr id="12" name="image6.jpg" descr="Qtegra_LabBooks.jpg"/>
            <wp:cNvGraphicFramePr/>
            <a:graphic xmlns:a="http://schemas.openxmlformats.org/drawingml/2006/main">
              <a:graphicData uri="http://schemas.openxmlformats.org/drawingml/2006/picture">
                <pic:pic xmlns:pic="http://schemas.openxmlformats.org/drawingml/2006/picture">
                  <pic:nvPicPr>
                    <pic:cNvPr id="0" name="image6.jpg" descr="Qtegra_LabBooks.jpg"/>
                    <pic:cNvPicPr preferRelativeResize="0"/>
                  </pic:nvPicPr>
                  <pic:blipFill>
                    <a:blip r:embed="rId8"/>
                    <a:srcRect/>
                    <a:stretch>
                      <a:fillRect/>
                    </a:stretch>
                  </pic:blipFill>
                  <pic:spPr>
                    <a:xfrm>
                      <a:off x="0" y="0"/>
                      <a:ext cx="5281613" cy="4138956"/>
                    </a:xfrm>
                    <a:prstGeom prst="rect">
                      <a:avLst/>
                    </a:prstGeom>
                    <a:ln/>
                  </pic:spPr>
                </pic:pic>
              </a:graphicData>
            </a:graphic>
          </wp:inline>
        </w:drawing>
      </w:r>
    </w:p>
    <w:p w14:paraId="52C75A54" w14:textId="77777777" w:rsidR="00E70178" w:rsidRDefault="00000000">
      <w:pPr>
        <w:spacing w:after="200" w:line="259" w:lineRule="auto"/>
        <w:ind w:left="720"/>
        <w:rPr>
          <w:b/>
          <w:sz w:val="20"/>
          <w:szCs w:val="20"/>
        </w:rPr>
      </w:pPr>
      <w:r>
        <w:rPr>
          <w:b/>
          <w:sz w:val="20"/>
          <w:szCs w:val="20"/>
        </w:rPr>
        <w:t xml:space="preserve">Figure 4. Creating a </w:t>
      </w:r>
      <w:proofErr w:type="spellStart"/>
      <w:r>
        <w:rPr>
          <w:b/>
          <w:sz w:val="20"/>
          <w:szCs w:val="20"/>
        </w:rPr>
        <w:t>LabBook</w:t>
      </w:r>
      <w:proofErr w:type="spellEnd"/>
    </w:p>
    <w:p w14:paraId="44E1256D" w14:textId="77777777" w:rsidR="00E70178" w:rsidRDefault="00000000">
      <w:pPr>
        <w:numPr>
          <w:ilvl w:val="2"/>
          <w:numId w:val="1"/>
        </w:numPr>
        <w:spacing w:line="360" w:lineRule="auto"/>
        <w:rPr>
          <w:b/>
        </w:rPr>
      </w:pPr>
      <w:r>
        <w:rPr>
          <w:b/>
          <w:sz w:val="18"/>
          <w:szCs w:val="18"/>
        </w:rPr>
        <w:t xml:space="preserve">Choose a folder/ pathway. Name the </w:t>
      </w:r>
      <w:proofErr w:type="spellStart"/>
      <w:r>
        <w:rPr>
          <w:b/>
          <w:sz w:val="18"/>
          <w:szCs w:val="18"/>
        </w:rPr>
        <w:t>LabBook</w:t>
      </w:r>
      <w:proofErr w:type="spellEnd"/>
      <w:r>
        <w:rPr>
          <w:b/>
          <w:sz w:val="18"/>
          <w:szCs w:val="18"/>
        </w:rPr>
        <w:t xml:space="preserve"> using the date (</w:t>
      </w:r>
      <w:proofErr w:type="spellStart"/>
      <w:r>
        <w:rPr>
          <w:b/>
          <w:sz w:val="18"/>
          <w:szCs w:val="18"/>
        </w:rPr>
        <w:t>year_month_date</w:t>
      </w:r>
      <w:proofErr w:type="spellEnd"/>
      <w:r>
        <w:rPr>
          <w:b/>
          <w:sz w:val="18"/>
          <w:szCs w:val="18"/>
        </w:rPr>
        <w:t xml:space="preserve">), operator ID, and sample set ID (e.g. 2019_08_12 MM </w:t>
      </w:r>
      <w:proofErr w:type="gramStart"/>
      <w:r>
        <w:rPr>
          <w:b/>
          <w:sz w:val="18"/>
          <w:szCs w:val="18"/>
        </w:rPr>
        <w:t>salt lake</w:t>
      </w:r>
      <w:proofErr w:type="gramEnd"/>
      <w:r>
        <w:rPr>
          <w:b/>
          <w:sz w:val="18"/>
          <w:szCs w:val="18"/>
        </w:rPr>
        <w:t xml:space="preserve"> water1). </w:t>
      </w:r>
    </w:p>
    <w:p w14:paraId="0C65A96E" w14:textId="77777777" w:rsidR="00E70178" w:rsidRDefault="00000000">
      <w:pPr>
        <w:numPr>
          <w:ilvl w:val="2"/>
          <w:numId w:val="1"/>
        </w:numPr>
        <w:spacing w:line="360" w:lineRule="auto"/>
        <w:rPr>
          <w:b/>
        </w:rPr>
      </w:pPr>
      <w:r>
        <w:rPr>
          <w:b/>
          <w:sz w:val="18"/>
          <w:szCs w:val="18"/>
        </w:rPr>
        <w:t xml:space="preserve">You can also open and work on a prior </w:t>
      </w:r>
      <w:proofErr w:type="spellStart"/>
      <w:r>
        <w:rPr>
          <w:b/>
          <w:sz w:val="18"/>
          <w:szCs w:val="18"/>
        </w:rPr>
        <w:t>LabBook</w:t>
      </w:r>
      <w:proofErr w:type="spellEnd"/>
      <w:r>
        <w:rPr>
          <w:b/>
          <w:sz w:val="18"/>
          <w:szCs w:val="18"/>
        </w:rPr>
        <w:t xml:space="preserve"> here.</w:t>
      </w:r>
    </w:p>
    <w:p w14:paraId="3321AAD7" w14:textId="77777777" w:rsidR="00E70178" w:rsidRDefault="00000000">
      <w:pPr>
        <w:numPr>
          <w:ilvl w:val="1"/>
          <w:numId w:val="1"/>
        </w:numPr>
        <w:spacing w:line="360" w:lineRule="auto"/>
        <w:rPr>
          <w:b/>
        </w:rPr>
      </w:pPr>
      <w:r>
        <w:rPr>
          <w:b/>
        </w:rPr>
        <w:t>Setting Up Method Parameters</w:t>
      </w:r>
    </w:p>
    <w:p w14:paraId="2DA3D7B1" w14:textId="77777777" w:rsidR="00E70178" w:rsidRDefault="00000000">
      <w:pPr>
        <w:numPr>
          <w:ilvl w:val="2"/>
          <w:numId w:val="1"/>
        </w:numPr>
        <w:spacing w:line="360" w:lineRule="auto"/>
        <w:rPr>
          <w:b/>
        </w:rPr>
      </w:pPr>
      <w:r>
        <w:rPr>
          <w:b/>
          <w:sz w:val="18"/>
          <w:szCs w:val="18"/>
        </w:rPr>
        <w:t>Choosing Analytes</w:t>
      </w:r>
    </w:p>
    <w:p w14:paraId="01967620" w14:textId="77777777" w:rsidR="00E70178" w:rsidRDefault="00000000">
      <w:pPr>
        <w:numPr>
          <w:ilvl w:val="3"/>
          <w:numId w:val="1"/>
        </w:numPr>
        <w:spacing w:after="200" w:line="259" w:lineRule="auto"/>
        <w:rPr>
          <w:b/>
        </w:rPr>
      </w:pPr>
      <w:r>
        <w:rPr>
          <w:sz w:val="18"/>
          <w:szCs w:val="18"/>
        </w:rPr>
        <w:lastRenderedPageBreak/>
        <w:t>Choose [Analytes] on the left “Content” tree. The Periodic table of the elements will appear. See Figure 5.</w:t>
      </w:r>
    </w:p>
    <w:p w14:paraId="043E4E6B" w14:textId="77777777" w:rsidR="00E70178" w:rsidRDefault="00000000">
      <w:pPr>
        <w:widowControl w:val="0"/>
        <w:spacing w:line="240" w:lineRule="auto"/>
        <w:ind w:left="250"/>
        <w:rPr>
          <w:sz w:val="18"/>
          <w:szCs w:val="18"/>
        </w:rPr>
      </w:pPr>
      <w:r>
        <w:rPr>
          <w:noProof/>
          <w:sz w:val="20"/>
          <w:szCs w:val="20"/>
        </w:rPr>
        <w:drawing>
          <wp:inline distT="0" distB="0" distL="0" distR="0" wp14:anchorId="4C6AF9DB" wp14:editId="3F0011C9">
            <wp:extent cx="5622398" cy="4014120"/>
            <wp:effectExtent l="0" t="0" r="0" b="0"/>
            <wp:docPr id="5" name="image10.jpg" descr="Qtegra_Analytes.jpg"/>
            <wp:cNvGraphicFramePr/>
            <a:graphic xmlns:a="http://schemas.openxmlformats.org/drawingml/2006/main">
              <a:graphicData uri="http://schemas.openxmlformats.org/drawingml/2006/picture">
                <pic:pic xmlns:pic="http://schemas.openxmlformats.org/drawingml/2006/picture">
                  <pic:nvPicPr>
                    <pic:cNvPr id="0" name="image10.jpg" descr="Qtegra_Analytes.jpg"/>
                    <pic:cNvPicPr preferRelativeResize="0"/>
                  </pic:nvPicPr>
                  <pic:blipFill>
                    <a:blip r:embed="rId9"/>
                    <a:srcRect/>
                    <a:stretch>
                      <a:fillRect/>
                    </a:stretch>
                  </pic:blipFill>
                  <pic:spPr>
                    <a:xfrm>
                      <a:off x="0" y="0"/>
                      <a:ext cx="5622398" cy="4014120"/>
                    </a:xfrm>
                    <a:prstGeom prst="rect">
                      <a:avLst/>
                    </a:prstGeom>
                    <a:ln/>
                  </pic:spPr>
                </pic:pic>
              </a:graphicData>
            </a:graphic>
          </wp:inline>
        </w:drawing>
      </w:r>
    </w:p>
    <w:p w14:paraId="65531977" w14:textId="77777777" w:rsidR="00E70178" w:rsidRDefault="00000000">
      <w:pPr>
        <w:spacing w:after="200" w:line="259" w:lineRule="auto"/>
        <w:ind w:left="720"/>
        <w:rPr>
          <w:b/>
          <w:sz w:val="20"/>
          <w:szCs w:val="20"/>
        </w:rPr>
      </w:pPr>
      <w:r>
        <w:rPr>
          <w:b/>
          <w:sz w:val="20"/>
          <w:szCs w:val="20"/>
        </w:rPr>
        <w:t>Figure 5. Method Parameters: Analytes window</w:t>
      </w:r>
    </w:p>
    <w:p w14:paraId="4004D137" w14:textId="77777777" w:rsidR="00E70178" w:rsidRDefault="00000000">
      <w:pPr>
        <w:numPr>
          <w:ilvl w:val="3"/>
          <w:numId w:val="1"/>
        </w:numPr>
        <w:spacing w:after="200" w:line="259" w:lineRule="auto"/>
      </w:pPr>
      <w:r>
        <w:rPr>
          <w:sz w:val="18"/>
          <w:szCs w:val="18"/>
        </w:rPr>
        <w:t xml:space="preserve">Left click an element to select the most abundant </w:t>
      </w:r>
      <w:proofErr w:type="gramStart"/>
      <w:r>
        <w:rPr>
          <w:sz w:val="18"/>
          <w:szCs w:val="18"/>
        </w:rPr>
        <w:t>isotope.(</w:t>
      </w:r>
      <w:proofErr w:type="gramEnd"/>
      <w:r>
        <w:rPr>
          <w:sz w:val="18"/>
          <w:szCs w:val="18"/>
        </w:rPr>
        <w:t>Figure 6.)</w:t>
      </w:r>
    </w:p>
    <w:p w14:paraId="13DB038C" w14:textId="77777777" w:rsidR="00E70178" w:rsidRDefault="00000000">
      <w:pPr>
        <w:numPr>
          <w:ilvl w:val="3"/>
          <w:numId w:val="1"/>
        </w:numPr>
        <w:spacing w:after="200" w:line="259" w:lineRule="auto"/>
        <w:rPr>
          <w:sz w:val="18"/>
          <w:szCs w:val="18"/>
        </w:rPr>
      </w:pPr>
      <w:r>
        <w:rPr>
          <w:sz w:val="18"/>
          <w:szCs w:val="18"/>
        </w:rPr>
        <w:t>Right click an element to open the isotopes window for the element. Check the checkboxes of the desired isotopes in the first column.</w:t>
      </w:r>
    </w:p>
    <w:p w14:paraId="5423E029" w14:textId="77777777" w:rsidR="00E70178" w:rsidRDefault="00000000">
      <w:pPr>
        <w:widowControl w:val="0"/>
        <w:spacing w:line="240" w:lineRule="auto"/>
        <w:ind w:left="250"/>
        <w:rPr>
          <w:sz w:val="18"/>
          <w:szCs w:val="18"/>
        </w:rPr>
      </w:pPr>
      <w:r>
        <w:rPr>
          <w:noProof/>
          <w:sz w:val="20"/>
          <w:szCs w:val="20"/>
        </w:rPr>
        <w:lastRenderedPageBreak/>
        <w:drawing>
          <wp:inline distT="0" distB="0" distL="0" distR="0" wp14:anchorId="00B733F3" wp14:editId="0F50A249">
            <wp:extent cx="5941061" cy="2972943"/>
            <wp:effectExtent l="0" t="0" r="0" b="0"/>
            <wp:docPr id="9" name="image4.jpg" descr="Qtegra_Acq_Param.jpg"/>
            <wp:cNvGraphicFramePr/>
            <a:graphic xmlns:a="http://schemas.openxmlformats.org/drawingml/2006/main">
              <a:graphicData uri="http://schemas.openxmlformats.org/drawingml/2006/picture">
                <pic:pic xmlns:pic="http://schemas.openxmlformats.org/drawingml/2006/picture">
                  <pic:nvPicPr>
                    <pic:cNvPr id="0" name="image4.jpg" descr="Qtegra_Acq_Param.jpg"/>
                    <pic:cNvPicPr preferRelativeResize="0"/>
                  </pic:nvPicPr>
                  <pic:blipFill>
                    <a:blip r:embed="rId10"/>
                    <a:srcRect/>
                    <a:stretch>
                      <a:fillRect/>
                    </a:stretch>
                  </pic:blipFill>
                  <pic:spPr>
                    <a:xfrm>
                      <a:off x="0" y="0"/>
                      <a:ext cx="5941061" cy="2972943"/>
                    </a:xfrm>
                    <a:prstGeom prst="rect">
                      <a:avLst/>
                    </a:prstGeom>
                    <a:ln/>
                  </pic:spPr>
                </pic:pic>
              </a:graphicData>
            </a:graphic>
          </wp:inline>
        </w:drawing>
      </w:r>
    </w:p>
    <w:p w14:paraId="7F5B579D" w14:textId="77777777" w:rsidR="00E70178" w:rsidRDefault="00000000">
      <w:pPr>
        <w:spacing w:after="200" w:line="259" w:lineRule="auto"/>
        <w:ind w:left="720"/>
        <w:rPr>
          <w:b/>
          <w:sz w:val="20"/>
          <w:szCs w:val="20"/>
        </w:rPr>
      </w:pPr>
      <w:r>
        <w:rPr>
          <w:b/>
          <w:sz w:val="20"/>
          <w:szCs w:val="20"/>
        </w:rPr>
        <w:t>Figure 6. Method Parameters: Acquisition Parameters window</w:t>
      </w:r>
    </w:p>
    <w:p w14:paraId="6E3D1041" w14:textId="77777777" w:rsidR="00E70178" w:rsidRDefault="00000000">
      <w:pPr>
        <w:numPr>
          <w:ilvl w:val="2"/>
          <w:numId w:val="1"/>
        </w:numPr>
        <w:spacing w:after="200" w:line="259" w:lineRule="auto"/>
        <w:rPr>
          <w:b/>
        </w:rPr>
      </w:pPr>
      <w:r>
        <w:rPr>
          <w:b/>
          <w:sz w:val="18"/>
          <w:szCs w:val="18"/>
        </w:rPr>
        <w:t>Enter the Acquisition Parameters for each analyte as follows.</w:t>
      </w:r>
    </w:p>
    <w:p w14:paraId="37A56EF2" w14:textId="77777777" w:rsidR="00E70178" w:rsidRDefault="00000000">
      <w:pPr>
        <w:numPr>
          <w:ilvl w:val="3"/>
          <w:numId w:val="1"/>
        </w:numPr>
        <w:spacing w:after="200" w:line="259" w:lineRule="auto"/>
        <w:rPr>
          <w:sz w:val="18"/>
          <w:szCs w:val="18"/>
        </w:rPr>
      </w:pPr>
      <w:r>
        <w:rPr>
          <w:sz w:val="18"/>
          <w:szCs w:val="18"/>
        </w:rPr>
        <w:t>Dwell time: Use the following guidelines.</w:t>
      </w:r>
    </w:p>
    <w:p w14:paraId="609E11F4" w14:textId="77777777" w:rsidR="00E70178" w:rsidRDefault="00000000">
      <w:pPr>
        <w:numPr>
          <w:ilvl w:val="4"/>
          <w:numId w:val="1"/>
        </w:numPr>
        <w:spacing w:after="200" w:line="259" w:lineRule="auto"/>
        <w:rPr>
          <w:sz w:val="18"/>
          <w:szCs w:val="18"/>
        </w:rPr>
      </w:pPr>
      <w:r>
        <w:rPr>
          <w:rFonts w:ascii="Arial Unicode MS" w:eastAsia="Arial Unicode MS" w:hAnsi="Arial Unicode MS" w:cs="Arial Unicode MS"/>
          <w:sz w:val="18"/>
          <w:szCs w:val="18"/>
        </w:rPr>
        <w:t xml:space="preserve">In general, 5 </w:t>
      </w:r>
      <w:proofErr w:type="spellStart"/>
      <w:r>
        <w:rPr>
          <w:rFonts w:ascii="Arial Unicode MS" w:eastAsia="Arial Unicode MS" w:hAnsi="Arial Unicode MS" w:cs="Arial Unicode MS"/>
          <w:sz w:val="18"/>
          <w:szCs w:val="18"/>
        </w:rPr>
        <w:t>ms</w:t>
      </w:r>
      <w:proofErr w:type="spellEnd"/>
      <w:r>
        <w:rPr>
          <w:rFonts w:ascii="Arial Unicode MS" w:eastAsia="Arial Unicode MS" w:hAnsi="Arial Unicode MS" w:cs="Arial Unicode MS"/>
          <w:sz w:val="18"/>
          <w:szCs w:val="18"/>
        </w:rPr>
        <w:t xml:space="preserve"> ≤ Dwell time ≤ 200 </w:t>
      </w:r>
      <w:proofErr w:type="spellStart"/>
      <w:r>
        <w:rPr>
          <w:rFonts w:ascii="Arial Unicode MS" w:eastAsia="Arial Unicode MS" w:hAnsi="Arial Unicode MS" w:cs="Arial Unicode MS"/>
          <w:sz w:val="18"/>
          <w:szCs w:val="18"/>
        </w:rPr>
        <w:t>ms.</w:t>
      </w:r>
      <w:proofErr w:type="spellEnd"/>
      <w:r>
        <w:rPr>
          <w:rFonts w:ascii="Arial Unicode MS" w:eastAsia="Arial Unicode MS" w:hAnsi="Arial Unicode MS" w:cs="Arial Unicode MS"/>
          <w:sz w:val="18"/>
          <w:szCs w:val="18"/>
        </w:rPr>
        <w:t xml:space="preserve"> Default is 10 </w:t>
      </w:r>
      <w:proofErr w:type="spellStart"/>
      <w:r>
        <w:rPr>
          <w:rFonts w:ascii="Arial Unicode MS" w:eastAsia="Arial Unicode MS" w:hAnsi="Arial Unicode MS" w:cs="Arial Unicode MS"/>
          <w:sz w:val="18"/>
          <w:szCs w:val="18"/>
        </w:rPr>
        <w:t>ms.</w:t>
      </w:r>
      <w:proofErr w:type="spellEnd"/>
    </w:p>
    <w:p w14:paraId="2B23A7E4" w14:textId="77777777" w:rsidR="00E70178" w:rsidRDefault="00000000">
      <w:pPr>
        <w:numPr>
          <w:ilvl w:val="4"/>
          <w:numId w:val="1"/>
        </w:numPr>
        <w:spacing w:after="200" w:line="259" w:lineRule="auto"/>
        <w:rPr>
          <w:sz w:val="18"/>
          <w:szCs w:val="18"/>
        </w:rPr>
      </w:pPr>
      <w:r>
        <w:rPr>
          <w:rFonts w:ascii="Arial Unicode MS" w:eastAsia="Arial Unicode MS" w:hAnsi="Arial Unicode MS" w:cs="Arial Unicode MS"/>
          <w:sz w:val="18"/>
          <w:szCs w:val="18"/>
        </w:rPr>
        <w:t xml:space="preserve">STD mode: Typically, 10 </w:t>
      </w:r>
      <w:proofErr w:type="spellStart"/>
      <w:r>
        <w:rPr>
          <w:rFonts w:ascii="Arial Unicode MS" w:eastAsia="Arial Unicode MS" w:hAnsi="Arial Unicode MS" w:cs="Arial Unicode MS"/>
          <w:sz w:val="18"/>
          <w:szCs w:val="18"/>
        </w:rPr>
        <w:t>ms</w:t>
      </w:r>
      <w:proofErr w:type="spellEnd"/>
      <w:r>
        <w:rPr>
          <w:rFonts w:ascii="Arial Unicode MS" w:eastAsia="Arial Unicode MS" w:hAnsi="Arial Unicode MS" w:cs="Arial Unicode MS"/>
          <w:sz w:val="18"/>
          <w:szCs w:val="18"/>
        </w:rPr>
        <w:t xml:space="preserve"> ≤ Dwell time ≤ 20 </w:t>
      </w:r>
      <w:proofErr w:type="spellStart"/>
      <w:r>
        <w:rPr>
          <w:rFonts w:ascii="Arial Unicode MS" w:eastAsia="Arial Unicode MS" w:hAnsi="Arial Unicode MS" w:cs="Arial Unicode MS"/>
          <w:sz w:val="18"/>
          <w:szCs w:val="18"/>
        </w:rPr>
        <w:t>ms.</w:t>
      </w:r>
      <w:proofErr w:type="spellEnd"/>
    </w:p>
    <w:p w14:paraId="11EC9F09" w14:textId="77777777" w:rsidR="00E70178" w:rsidRDefault="00000000">
      <w:pPr>
        <w:numPr>
          <w:ilvl w:val="4"/>
          <w:numId w:val="1"/>
        </w:numPr>
        <w:spacing w:after="200" w:line="259" w:lineRule="auto"/>
        <w:rPr>
          <w:sz w:val="18"/>
          <w:szCs w:val="18"/>
        </w:rPr>
      </w:pPr>
      <w:r>
        <w:rPr>
          <w:rFonts w:ascii="Arial Unicode MS" w:eastAsia="Arial Unicode MS" w:hAnsi="Arial Unicode MS" w:cs="Arial Unicode MS"/>
          <w:sz w:val="18"/>
          <w:szCs w:val="18"/>
        </w:rPr>
        <w:t xml:space="preserve">KED: Typically, 30 </w:t>
      </w:r>
      <w:proofErr w:type="spellStart"/>
      <w:r>
        <w:rPr>
          <w:rFonts w:ascii="Arial Unicode MS" w:eastAsia="Arial Unicode MS" w:hAnsi="Arial Unicode MS" w:cs="Arial Unicode MS"/>
          <w:sz w:val="18"/>
          <w:szCs w:val="18"/>
        </w:rPr>
        <w:t>ms</w:t>
      </w:r>
      <w:proofErr w:type="spellEnd"/>
      <w:r>
        <w:rPr>
          <w:rFonts w:ascii="Arial Unicode MS" w:eastAsia="Arial Unicode MS" w:hAnsi="Arial Unicode MS" w:cs="Arial Unicode MS"/>
          <w:sz w:val="18"/>
          <w:szCs w:val="18"/>
        </w:rPr>
        <w:t xml:space="preserve"> ≤ Dwell time ≤ 50 ms.34</w:t>
      </w:r>
    </w:p>
    <w:p w14:paraId="3D9DE181" w14:textId="77777777" w:rsidR="00E70178" w:rsidRDefault="00000000">
      <w:pPr>
        <w:numPr>
          <w:ilvl w:val="3"/>
          <w:numId w:val="1"/>
        </w:numPr>
        <w:spacing w:after="200" w:line="259" w:lineRule="auto"/>
        <w:rPr>
          <w:sz w:val="18"/>
          <w:szCs w:val="18"/>
        </w:rPr>
      </w:pPr>
      <w:r>
        <w:rPr>
          <w:sz w:val="18"/>
          <w:szCs w:val="18"/>
        </w:rPr>
        <w:t>Use longer dwell times for analytes with low intensities, e.g., due to low concentration or high mass.</w:t>
      </w:r>
    </w:p>
    <w:p w14:paraId="6CE0E568" w14:textId="77777777" w:rsidR="00E70178" w:rsidRDefault="00000000">
      <w:pPr>
        <w:numPr>
          <w:ilvl w:val="3"/>
          <w:numId w:val="1"/>
        </w:numPr>
        <w:spacing w:after="200" w:line="259" w:lineRule="auto"/>
        <w:rPr>
          <w:sz w:val="18"/>
          <w:szCs w:val="18"/>
        </w:rPr>
      </w:pPr>
      <w:r>
        <w:rPr>
          <w:sz w:val="18"/>
          <w:szCs w:val="18"/>
        </w:rPr>
        <w:t>Channels: Use the default value, i.e., 1.</w:t>
      </w:r>
    </w:p>
    <w:p w14:paraId="0ACDB4EE" w14:textId="77777777" w:rsidR="00E70178" w:rsidRDefault="00000000">
      <w:pPr>
        <w:numPr>
          <w:ilvl w:val="3"/>
          <w:numId w:val="1"/>
        </w:numPr>
        <w:spacing w:after="200" w:line="259" w:lineRule="auto"/>
        <w:rPr>
          <w:sz w:val="18"/>
          <w:szCs w:val="18"/>
        </w:rPr>
      </w:pPr>
      <w:r>
        <w:rPr>
          <w:sz w:val="18"/>
          <w:szCs w:val="18"/>
        </w:rPr>
        <w:t>Spacing: Use the default value, i.e., 0.1.</w:t>
      </w:r>
    </w:p>
    <w:p w14:paraId="10A2C28A" w14:textId="77777777" w:rsidR="00E70178" w:rsidRDefault="00000000">
      <w:pPr>
        <w:numPr>
          <w:ilvl w:val="3"/>
          <w:numId w:val="1"/>
        </w:numPr>
        <w:spacing w:after="200" w:line="259" w:lineRule="auto"/>
        <w:rPr>
          <w:sz w:val="18"/>
          <w:szCs w:val="18"/>
        </w:rPr>
      </w:pPr>
      <w:r>
        <w:rPr>
          <w:sz w:val="18"/>
          <w:szCs w:val="18"/>
        </w:rPr>
        <w:t>Measurement mode: Set as desired. Stability may be compromised if more than one mode is selected.</w:t>
      </w:r>
    </w:p>
    <w:p w14:paraId="4F0DE4D3" w14:textId="77777777" w:rsidR="00E70178" w:rsidRDefault="00000000">
      <w:pPr>
        <w:numPr>
          <w:ilvl w:val="3"/>
          <w:numId w:val="1"/>
        </w:numPr>
        <w:spacing w:after="200" w:line="259" w:lineRule="auto"/>
        <w:rPr>
          <w:sz w:val="18"/>
          <w:szCs w:val="18"/>
        </w:rPr>
      </w:pPr>
      <w:r>
        <w:rPr>
          <w:sz w:val="18"/>
          <w:szCs w:val="18"/>
        </w:rPr>
        <w:t>Resolution: Usually, should be set to Normal; however, if intensities are expected to be excessive, they can be reduced by setting Resolution to High.</w:t>
      </w:r>
    </w:p>
    <w:p w14:paraId="6310516F" w14:textId="77777777" w:rsidR="00E70178" w:rsidRDefault="00000000">
      <w:pPr>
        <w:numPr>
          <w:ilvl w:val="3"/>
          <w:numId w:val="1"/>
        </w:numPr>
        <w:spacing w:after="200" w:line="259" w:lineRule="auto"/>
        <w:rPr>
          <w:sz w:val="18"/>
          <w:szCs w:val="18"/>
        </w:rPr>
      </w:pPr>
      <w:r>
        <w:rPr>
          <w:sz w:val="18"/>
          <w:szCs w:val="18"/>
        </w:rPr>
        <w:t>Enter the Advanced Parameters for each analyte as follows.</w:t>
      </w:r>
    </w:p>
    <w:p w14:paraId="041106EA" w14:textId="77777777" w:rsidR="00E70178" w:rsidRDefault="00000000">
      <w:pPr>
        <w:numPr>
          <w:ilvl w:val="4"/>
          <w:numId w:val="1"/>
        </w:numPr>
        <w:spacing w:after="200" w:line="259" w:lineRule="auto"/>
        <w:rPr>
          <w:sz w:val="18"/>
          <w:szCs w:val="18"/>
        </w:rPr>
      </w:pPr>
      <w:r>
        <w:rPr>
          <w:sz w:val="18"/>
          <w:szCs w:val="18"/>
        </w:rPr>
        <w:t>Number of sweeps: Use the following guidelines.</w:t>
      </w:r>
    </w:p>
    <w:p w14:paraId="1C42EE97" w14:textId="77777777" w:rsidR="00E70178" w:rsidRDefault="00000000">
      <w:pPr>
        <w:numPr>
          <w:ilvl w:val="5"/>
          <w:numId w:val="1"/>
        </w:numPr>
        <w:spacing w:after="200" w:line="259" w:lineRule="auto"/>
        <w:rPr>
          <w:sz w:val="18"/>
          <w:szCs w:val="18"/>
        </w:rPr>
      </w:pPr>
      <w:r>
        <w:rPr>
          <w:rFonts w:ascii="Arial Unicode MS" w:eastAsia="Arial Unicode MS" w:hAnsi="Arial Unicode MS" w:cs="Arial Unicode MS"/>
          <w:sz w:val="18"/>
          <w:szCs w:val="18"/>
        </w:rPr>
        <w:t xml:space="preserve">In general, 10 ≤ Number of sweeps ≤ 50, except for isotope ratios. </w:t>
      </w:r>
      <w:proofErr w:type="gramStart"/>
      <w:r>
        <w:rPr>
          <w:rFonts w:ascii="Arial Unicode MS" w:eastAsia="Arial Unicode MS" w:hAnsi="Arial Unicode MS" w:cs="Arial Unicode MS"/>
          <w:sz w:val="18"/>
          <w:szCs w:val="18"/>
        </w:rPr>
        <w:t>Default</w:t>
      </w:r>
      <w:proofErr w:type="gramEnd"/>
      <w:r>
        <w:rPr>
          <w:rFonts w:ascii="Arial Unicode MS" w:eastAsia="Arial Unicode MS" w:hAnsi="Arial Unicode MS" w:cs="Arial Unicode MS"/>
          <w:sz w:val="18"/>
          <w:szCs w:val="18"/>
        </w:rPr>
        <w:t xml:space="preserve"> is 10 sweeps.</w:t>
      </w:r>
    </w:p>
    <w:p w14:paraId="4EC7D771" w14:textId="77777777" w:rsidR="00E70178" w:rsidRDefault="00000000">
      <w:pPr>
        <w:numPr>
          <w:ilvl w:val="5"/>
          <w:numId w:val="1"/>
        </w:numPr>
        <w:spacing w:after="200" w:line="259" w:lineRule="auto"/>
        <w:rPr>
          <w:sz w:val="18"/>
          <w:szCs w:val="18"/>
        </w:rPr>
      </w:pPr>
      <w:r>
        <w:rPr>
          <w:sz w:val="18"/>
          <w:szCs w:val="18"/>
        </w:rPr>
        <w:t>STD mode:</w:t>
      </w:r>
    </w:p>
    <w:p w14:paraId="63A0F9EB" w14:textId="77777777" w:rsidR="00E70178" w:rsidRDefault="00000000">
      <w:pPr>
        <w:spacing w:after="200" w:line="259" w:lineRule="auto"/>
        <w:ind w:left="4320"/>
        <w:rPr>
          <w:sz w:val="18"/>
          <w:szCs w:val="18"/>
        </w:rPr>
      </w:pPr>
      <w:r>
        <w:rPr>
          <w:rFonts w:ascii="Arial Unicode MS" w:eastAsia="Arial Unicode MS" w:hAnsi="Arial Unicode MS" w:cs="Arial Unicode MS"/>
          <w:sz w:val="18"/>
          <w:szCs w:val="18"/>
        </w:rPr>
        <w:t>Concentrations ≥ 10 ppb, try 10 sweeps.</w:t>
      </w:r>
    </w:p>
    <w:p w14:paraId="31A08D7B" w14:textId="77777777" w:rsidR="00E70178" w:rsidRDefault="00000000">
      <w:pPr>
        <w:spacing w:after="200" w:line="259" w:lineRule="auto"/>
        <w:ind w:left="4320"/>
        <w:rPr>
          <w:sz w:val="18"/>
          <w:szCs w:val="18"/>
        </w:rPr>
      </w:pPr>
      <w:r>
        <w:rPr>
          <w:rFonts w:ascii="Arial Unicode MS" w:eastAsia="Arial Unicode MS" w:hAnsi="Arial Unicode MS" w:cs="Arial Unicode MS"/>
          <w:sz w:val="18"/>
          <w:szCs w:val="18"/>
        </w:rPr>
        <w:t>Concentrations ≤ 10 ppb, try 20 sweeps.</w:t>
      </w:r>
    </w:p>
    <w:p w14:paraId="77606ABE" w14:textId="77777777" w:rsidR="00E70178" w:rsidRDefault="00000000">
      <w:pPr>
        <w:numPr>
          <w:ilvl w:val="5"/>
          <w:numId w:val="1"/>
        </w:numPr>
        <w:spacing w:after="200" w:line="259" w:lineRule="auto"/>
        <w:rPr>
          <w:sz w:val="18"/>
          <w:szCs w:val="18"/>
        </w:rPr>
      </w:pPr>
      <w:r>
        <w:rPr>
          <w:sz w:val="18"/>
          <w:szCs w:val="18"/>
        </w:rPr>
        <w:lastRenderedPageBreak/>
        <w:t>KED mode: try 20 sweeps.</w:t>
      </w:r>
    </w:p>
    <w:p w14:paraId="48EBEAAB" w14:textId="77777777" w:rsidR="00E70178" w:rsidRDefault="00000000">
      <w:pPr>
        <w:numPr>
          <w:ilvl w:val="5"/>
          <w:numId w:val="1"/>
        </w:numPr>
        <w:spacing w:after="200" w:line="259" w:lineRule="auto"/>
        <w:rPr>
          <w:sz w:val="18"/>
          <w:szCs w:val="18"/>
        </w:rPr>
      </w:pPr>
      <w:r>
        <w:rPr>
          <w:sz w:val="18"/>
          <w:szCs w:val="18"/>
        </w:rPr>
        <w:t>Isotope ratios: try 200 sweeps. For high precision, more may be required.</w:t>
      </w:r>
    </w:p>
    <w:p w14:paraId="1D966E7A" w14:textId="77777777" w:rsidR="00E70178" w:rsidRDefault="00000000">
      <w:pPr>
        <w:numPr>
          <w:ilvl w:val="4"/>
          <w:numId w:val="1"/>
        </w:numPr>
        <w:spacing w:after="200" w:line="259" w:lineRule="auto"/>
        <w:rPr>
          <w:sz w:val="18"/>
          <w:szCs w:val="18"/>
        </w:rPr>
      </w:pPr>
      <w:r>
        <w:rPr>
          <w:sz w:val="18"/>
          <w:szCs w:val="18"/>
        </w:rPr>
        <w:t>Measurement order: Drag the mode to the desired position.</w:t>
      </w:r>
    </w:p>
    <w:p w14:paraId="2F18F552" w14:textId="77777777" w:rsidR="00E70178" w:rsidRDefault="00000000">
      <w:pPr>
        <w:numPr>
          <w:ilvl w:val="2"/>
          <w:numId w:val="1"/>
        </w:numPr>
        <w:spacing w:after="200" w:line="259" w:lineRule="auto"/>
        <w:rPr>
          <w:b/>
          <w:sz w:val="18"/>
          <w:szCs w:val="18"/>
        </w:rPr>
      </w:pPr>
      <w:r>
        <w:rPr>
          <w:b/>
          <w:sz w:val="18"/>
          <w:szCs w:val="18"/>
        </w:rPr>
        <w:t>Monitor Analytes</w:t>
      </w:r>
    </w:p>
    <w:p w14:paraId="6B880AB3" w14:textId="77777777" w:rsidR="00E70178" w:rsidRDefault="00000000">
      <w:pPr>
        <w:numPr>
          <w:ilvl w:val="3"/>
          <w:numId w:val="1"/>
        </w:numPr>
        <w:spacing w:after="200" w:line="259" w:lineRule="auto"/>
        <w:rPr>
          <w:sz w:val="18"/>
          <w:szCs w:val="18"/>
        </w:rPr>
      </w:pPr>
      <w:r>
        <w:rPr>
          <w:sz w:val="18"/>
          <w:szCs w:val="18"/>
        </w:rPr>
        <w:t xml:space="preserve">Monitor Analytes is an optional feature (except for </w:t>
      </w:r>
      <w:proofErr w:type="spellStart"/>
      <w:r>
        <w:rPr>
          <w:sz w:val="18"/>
          <w:szCs w:val="18"/>
        </w:rPr>
        <w:t>tQuant</w:t>
      </w:r>
      <w:proofErr w:type="spellEnd"/>
      <w:r>
        <w:rPr>
          <w:sz w:val="18"/>
          <w:szCs w:val="18"/>
        </w:rPr>
        <w:t xml:space="preserve"> and </w:t>
      </w:r>
      <w:proofErr w:type="spellStart"/>
      <w:r>
        <w:rPr>
          <w:sz w:val="18"/>
          <w:szCs w:val="18"/>
        </w:rPr>
        <w:t>trQuant</w:t>
      </w:r>
      <w:proofErr w:type="spellEnd"/>
      <w:r>
        <w:rPr>
          <w:sz w:val="18"/>
          <w:szCs w:val="18"/>
        </w:rPr>
        <w:t>), which allows one to modify the uptake and wash, depending on the signal intensity and stability of one or more user-specified monitored analytes. Uptake starts when the monitored analyte signal meets the user-specified stability value. If the stability falls below the user-specified value after the measurement, the wash starts.</w:t>
      </w:r>
    </w:p>
    <w:p w14:paraId="5D0F72E8" w14:textId="77777777" w:rsidR="00E70178" w:rsidRDefault="00000000">
      <w:pPr>
        <w:numPr>
          <w:ilvl w:val="3"/>
          <w:numId w:val="1"/>
        </w:numPr>
        <w:spacing w:after="200" w:line="259" w:lineRule="auto"/>
        <w:rPr>
          <w:sz w:val="18"/>
          <w:szCs w:val="18"/>
        </w:rPr>
      </w:pPr>
      <w:r>
        <w:rPr>
          <w:sz w:val="18"/>
          <w:szCs w:val="18"/>
        </w:rPr>
        <w:t xml:space="preserve">In the left pane of the </w:t>
      </w:r>
      <w:proofErr w:type="spellStart"/>
      <w:r>
        <w:rPr>
          <w:sz w:val="18"/>
          <w:szCs w:val="18"/>
        </w:rPr>
        <w:t>LabBook</w:t>
      </w:r>
      <w:proofErr w:type="spellEnd"/>
      <w:r>
        <w:rPr>
          <w:sz w:val="18"/>
          <w:szCs w:val="18"/>
        </w:rPr>
        <w:t>, select Method Parameters: Monitor Analytes. The Monitored Analytes window should open, as shown in Figure 7.</w:t>
      </w:r>
    </w:p>
    <w:p w14:paraId="34B80E1E" w14:textId="77777777" w:rsidR="00E70178" w:rsidRDefault="00000000">
      <w:pPr>
        <w:numPr>
          <w:ilvl w:val="3"/>
          <w:numId w:val="1"/>
        </w:numPr>
        <w:spacing w:after="200" w:line="259" w:lineRule="auto"/>
        <w:rPr>
          <w:sz w:val="18"/>
          <w:szCs w:val="18"/>
        </w:rPr>
      </w:pPr>
      <w:r>
        <w:rPr>
          <w:sz w:val="18"/>
          <w:szCs w:val="18"/>
        </w:rPr>
        <w:t>Set the ranges for the uptake and wash delays.</w:t>
      </w:r>
    </w:p>
    <w:p w14:paraId="14025497" w14:textId="77777777" w:rsidR="00E70178" w:rsidRDefault="00000000">
      <w:pPr>
        <w:numPr>
          <w:ilvl w:val="3"/>
          <w:numId w:val="1"/>
        </w:numPr>
        <w:spacing w:after="200" w:line="259" w:lineRule="auto"/>
        <w:rPr>
          <w:sz w:val="18"/>
          <w:szCs w:val="18"/>
        </w:rPr>
      </w:pPr>
      <w:r>
        <w:rPr>
          <w:sz w:val="18"/>
          <w:szCs w:val="18"/>
        </w:rPr>
        <w:t xml:space="preserve">To add a monitored analyte, click Monitored Analyte. An empty row will be added to the </w:t>
      </w:r>
      <w:proofErr w:type="gramStart"/>
      <w:r>
        <w:rPr>
          <w:sz w:val="18"/>
          <w:szCs w:val="18"/>
        </w:rPr>
        <w:t>table</w:t>
      </w:r>
      <w:proofErr w:type="gramEnd"/>
    </w:p>
    <w:p w14:paraId="3873E778" w14:textId="77777777" w:rsidR="00E70178" w:rsidRDefault="00000000">
      <w:pPr>
        <w:numPr>
          <w:ilvl w:val="3"/>
          <w:numId w:val="1"/>
        </w:numPr>
        <w:spacing w:after="200" w:line="259" w:lineRule="auto"/>
        <w:rPr>
          <w:sz w:val="18"/>
          <w:szCs w:val="18"/>
        </w:rPr>
      </w:pPr>
      <w:r>
        <w:rPr>
          <w:sz w:val="18"/>
          <w:szCs w:val="18"/>
        </w:rPr>
        <w:t>In the Analyte column, type the mass and chemical symbol of the monitored analyte, e.g., 115In.</w:t>
      </w:r>
    </w:p>
    <w:p w14:paraId="5183AC6D" w14:textId="77777777" w:rsidR="00E70178" w:rsidRDefault="00000000">
      <w:pPr>
        <w:numPr>
          <w:ilvl w:val="3"/>
          <w:numId w:val="1"/>
        </w:numPr>
        <w:spacing w:after="200" w:line="259" w:lineRule="auto"/>
        <w:rPr>
          <w:sz w:val="18"/>
          <w:szCs w:val="18"/>
        </w:rPr>
      </w:pPr>
      <w:r>
        <w:rPr>
          <w:sz w:val="18"/>
          <w:szCs w:val="18"/>
        </w:rPr>
        <w:t>To enable the uptake settings:</w:t>
      </w:r>
    </w:p>
    <w:p w14:paraId="437AB687" w14:textId="77777777" w:rsidR="00E70178" w:rsidRDefault="00000000">
      <w:pPr>
        <w:numPr>
          <w:ilvl w:val="4"/>
          <w:numId w:val="1"/>
        </w:numPr>
        <w:spacing w:after="200" w:line="259" w:lineRule="auto"/>
        <w:rPr>
          <w:sz w:val="18"/>
          <w:szCs w:val="18"/>
        </w:rPr>
      </w:pPr>
      <w:r>
        <w:rPr>
          <w:sz w:val="18"/>
          <w:szCs w:val="18"/>
        </w:rPr>
        <w:t>Check the checkbox in the Uptake column.</w:t>
      </w:r>
    </w:p>
    <w:p w14:paraId="55B92638" w14:textId="77777777" w:rsidR="00E70178" w:rsidRDefault="00000000">
      <w:pPr>
        <w:numPr>
          <w:ilvl w:val="4"/>
          <w:numId w:val="1"/>
        </w:numPr>
        <w:spacing w:after="200" w:line="259" w:lineRule="auto"/>
        <w:rPr>
          <w:sz w:val="18"/>
          <w:szCs w:val="18"/>
        </w:rPr>
      </w:pPr>
      <w:r>
        <w:rPr>
          <w:sz w:val="18"/>
          <w:szCs w:val="18"/>
        </w:rPr>
        <w:t>Type the desired Signal Above (cps) threshold.</w:t>
      </w:r>
    </w:p>
    <w:p w14:paraId="3AFC0FA1" w14:textId="77777777" w:rsidR="00E70178" w:rsidRDefault="00000000">
      <w:pPr>
        <w:numPr>
          <w:ilvl w:val="4"/>
          <w:numId w:val="1"/>
        </w:numPr>
        <w:spacing w:after="200" w:line="259" w:lineRule="auto"/>
        <w:rPr>
          <w:sz w:val="18"/>
          <w:szCs w:val="18"/>
        </w:rPr>
      </w:pPr>
      <w:r>
        <w:rPr>
          <w:sz w:val="18"/>
          <w:szCs w:val="18"/>
        </w:rPr>
        <w:t>Type the desired Stability (%RSD) threshold.</w:t>
      </w:r>
    </w:p>
    <w:p w14:paraId="72F072CB" w14:textId="77777777" w:rsidR="00E70178" w:rsidRDefault="00000000">
      <w:pPr>
        <w:numPr>
          <w:ilvl w:val="4"/>
          <w:numId w:val="1"/>
        </w:numPr>
        <w:spacing w:after="200" w:line="259" w:lineRule="auto"/>
        <w:rPr>
          <w:sz w:val="18"/>
          <w:szCs w:val="18"/>
        </w:rPr>
      </w:pPr>
      <w:r>
        <w:rPr>
          <w:sz w:val="18"/>
          <w:szCs w:val="18"/>
        </w:rPr>
        <w:t>In the On Failure column, select the desired outcome on failure from the dropdown list.</w:t>
      </w:r>
    </w:p>
    <w:p w14:paraId="0D70D7C0" w14:textId="77777777" w:rsidR="00E70178" w:rsidRDefault="00000000">
      <w:pPr>
        <w:numPr>
          <w:ilvl w:val="3"/>
          <w:numId w:val="1"/>
        </w:numPr>
        <w:spacing w:after="200" w:line="259" w:lineRule="auto"/>
        <w:rPr>
          <w:sz w:val="18"/>
          <w:szCs w:val="18"/>
        </w:rPr>
      </w:pPr>
      <w:r>
        <w:rPr>
          <w:sz w:val="18"/>
          <w:szCs w:val="18"/>
        </w:rPr>
        <w:t>To enable the wash settings:</w:t>
      </w:r>
    </w:p>
    <w:p w14:paraId="3D1199EC" w14:textId="77777777" w:rsidR="00E70178" w:rsidRDefault="00000000">
      <w:pPr>
        <w:numPr>
          <w:ilvl w:val="4"/>
          <w:numId w:val="1"/>
        </w:numPr>
        <w:spacing w:after="200" w:line="259" w:lineRule="auto"/>
        <w:rPr>
          <w:sz w:val="18"/>
          <w:szCs w:val="18"/>
        </w:rPr>
      </w:pPr>
      <w:r>
        <w:rPr>
          <w:sz w:val="18"/>
          <w:szCs w:val="18"/>
        </w:rPr>
        <w:t>Check the checkbox in the Wash column.</w:t>
      </w:r>
    </w:p>
    <w:p w14:paraId="674ABCE9" w14:textId="77777777" w:rsidR="00E70178" w:rsidRDefault="00000000">
      <w:pPr>
        <w:numPr>
          <w:ilvl w:val="4"/>
          <w:numId w:val="1"/>
        </w:numPr>
        <w:spacing w:after="200" w:line="259" w:lineRule="auto"/>
        <w:rPr>
          <w:sz w:val="18"/>
          <w:szCs w:val="18"/>
        </w:rPr>
      </w:pPr>
      <w:r>
        <w:rPr>
          <w:sz w:val="18"/>
          <w:szCs w:val="18"/>
        </w:rPr>
        <w:t>Type the desired Signal Above (cps) threshold.</w:t>
      </w:r>
    </w:p>
    <w:p w14:paraId="393E301B" w14:textId="77777777" w:rsidR="00E70178" w:rsidRDefault="00000000">
      <w:pPr>
        <w:numPr>
          <w:ilvl w:val="4"/>
          <w:numId w:val="1"/>
        </w:numPr>
        <w:spacing w:after="200" w:line="259" w:lineRule="auto"/>
        <w:rPr>
          <w:sz w:val="18"/>
          <w:szCs w:val="18"/>
        </w:rPr>
      </w:pPr>
      <w:r>
        <w:rPr>
          <w:sz w:val="18"/>
          <w:szCs w:val="18"/>
        </w:rPr>
        <w:t>Type the desired Stability (%RSD) threshold.</w:t>
      </w:r>
    </w:p>
    <w:p w14:paraId="21C84025" w14:textId="77777777" w:rsidR="00E70178" w:rsidRDefault="00000000">
      <w:pPr>
        <w:numPr>
          <w:ilvl w:val="4"/>
          <w:numId w:val="1"/>
        </w:numPr>
        <w:spacing w:after="200" w:line="259" w:lineRule="auto"/>
        <w:rPr>
          <w:sz w:val="18"/>
          <w:szCs w:val="18"/>
        </w:rPr>
      </w:pPr>
      <w:r>
        <w:rPr>
          <w:sz w:val="18"/>
          <w:szCs w:val="18"/>
        </w:rPr>
        <w:t>In the On Failure column, select the desired outcome on failure from the dropdown list.</w:t>
      </w:r>
    </w:p>
    <w:p w14:paraId="1A519818" w14:textId="77777777" w:rsidR="00E70178" w:rsidRDefault="00000000">
      <w:pPr>
        <w:spacing w:after="160" w:line="259" w:lineRule="auto"/>
        <w:ind w:left="720"/>
        <w:rPr>
          <w:sz w:val="18"/>
          <w:szCs w:val="18"/>
        </w:rPr>
      </w:pPr>
      <w:r>
        <w:rPr>
          <w:noProof/>
        </w:rPr>
        <w:lastRenderedPageBreak/>
        <w:drawing>
          <wp:anchor distT="0" distB="0" distL="0" distR="0" simplePos="0" relativeHeight="251658240" behindDoc="0" locked="0" layoutInCell="1" hidden="0" allowOverlap="1" wp14:anchorId="236E760E" wp14:editId="5FB3CA84">
            <wp:simplePos x="0" y="0"/>
            <wp:positionH relativeFrom="column">
              <wp:posOffset>-28302</wp:posOffset>
            </wp:positionH>
            <wp:positionV relativeFrom="paragraph">
              <wp:posOffset>3589</wp:posOffset>
            </wp:positionV>
            <wp:extent cx="5971903" cy="3523678"/>
            <wp:effectExtent l="0" t="0" r="0" b="0"/>
            <wp:wrapTopAndBottom distT="0" distB="0"/>
            <wp:docPr id="6" name="image8.jpg" descr="Qtegra_Monitor_Analytes.jpg"/>
            <wp:cNvGraphicFramePr/>
            <a:graphic xmlns:a="http://schemas.openxmlformats.org/drawingml/2006/main">
              <a:graphicData uri="http://schemas.openxmlformats.org/drawingml/2006/picture">
                <pic:pic xmlns:pic="http://schemas.openxmlformats.org/drawingml/2006/picture">
                  <pic:nvPicPr>
                    <pic:cNvPr id="0" name="image8.jpg" descr="Qtegra_Monitor_Analytes.jpg"/>
                    <pic:cNvPicPr preferRelativeResize="0"/>
                  </pic:nvPicPr>
                  <pic:blipFill>
                    <a:blip r:embed="rId11"/>
                    <a:srcRect/>
                    <a:stretch>
                      <a:fillRect/>
                    </a:stretch>
                  </pic:blipFill>
                  <pic:spPr>
                    <a:xfrm>
                      <a:off x="0" y="0"/>
                      <a:ext cx="5971903" cy="3523678"/>
                    </a:xfrm>
                    <a:prstGeom prst="rect">
                      <a:avLst/>
                    </a:prstGeom>
                    <a:ln/>
                  </pic:spPr>
                </pic:pic>
              </a:graphicData>
            </a:graphic>
          </wp:anchor>
        </w:drawing>
      </w:r>
    </w:p>
    <w:p w14:paraId="4744A397" w14:textId="77777777" w:rsidR="00E70178" w:rsidRDefault="00000000">
      <w:pPr>
        <w:spacing w:after="160" w:line="259" w:lineRule="auto"/>
        <w:ind w:left="720"/>
        <w:rPr>
          <w:sz w:val="18"/>
          <w:szCs w:val="18"/>
        </w:rPr>
      </w:pPr>
      <w:r>
        <w:rPr>
          <w:b/>
          <w:sz w:val="20"/>
          <w:szCs w:val="20"/>
        </w:rPr>
        <w:t>Figure 7. Method Parameters: Monitor Analytes window</w:t>
      </w:r>
    </w:p>
    <w:p w14:paraId="2F44ADA6" w14:textId="77777777" w:rsidR="00E70178" w:rsidRDefault="00000000">
      <w:pPr>
        <w:numPr>
          <w:ilvl w:val="1"/>
          <w:numId w:val="1"/>
        </w:numPr>
        <w:spacing w:after="200" w:line="259" w:lineRule="auto"/>
        <w:rPr>
          <w:b/>
        </w:rPr>
      </w:pPr>
      <w:r>
        <w:rPr>
          <w:b/>
        </w:rPr>
        <w:t>Standards</w:t>
      </w:r>
    </w:p>
    <w:p w14:paraId="78C69251" w14:textId="77777777" w:rsidR="00E70178" w:rsidRDefault="00000000">
      <w:pPr>
        <w:numPr>
          <w:ilvl w:val="2"/>
          <w:numId w:val="1"/>
        </w:numPr>
        <w:spacing w:after="200" w:line="259" w:lineRule="auto"/>
        <w:rPr>
          <w:b/>
          <w:sz w:val="14"/>
          <w:szCs w:val="14"/>
        </w:rPr>
      </w:pPr>
      <w:r>
        <w:rPr>
          <w:b/>
          <w:sz w:val="18"/>
          <w:szCs w:val="18"/>
        </w:rPr>
        <w:t xml:space="preserve">ICP-MS measurements are inherently </w:t>
      </w:r>
      <w:proofErr w:type="gramStart"/>
      <w:r>
        <w:rPr>
          <w:b/>
          <w:sz w:val="18"/>
          <w:szCs w:val="18"/>
        </w:rPr>
        <w:t>qualitative</w:t>
      </w:r>
      <w:proofErr w:type="gramEnd"/>
      <w:r>
        <w:rPr>
          <w:b/>
          <w:sz w:val="18"/>
          <w:szCs w:val="18"/>
        </w:rPr>
        <w:t xml:space="preserve"> but the use of standards can make them quantitative. External and isotopic standards are defined in the Standards window of a Lab- Book. One can either define a new standard or load a standard from the global standards database.</w:t>
      </w:r>
    </w:p>
    <w:p w14:paraId="74E82588" w14:textId="77777777" w:rsidR="00E70178" w:rsidRDefault="00000000">
      <w:pPr>
        <w:numPr>
          <w:ilvl w:val="2"/>
          <w:numId w:val="1"/>
        </w:numPr>
        <w:spacing w:after="200" w:line="259" w:lineRule="auto"/>
        <w:rPr>
          <w:b/>
        </w:rPr>
      </w:pPr>
      <w:r>
        <w:rPr>
          <w:b/>
          <w:sz w:val="18"/>
          <w:szCs w:val="18"/>
        </w:rPr>
        <w:t>Defining a New Standard</w:t>
      </w:r>
    </w:p>
    <w:p w14:paraId="08F4D935" w14:textId="77777777" w:rsidR="00E70178" w:rsidRDefault="00000000">
      <w:pPr>
        <w:numPr>
          <w:ilvl w:val="3"/>
          <w:numId w:val="1"/>
        </w:numPr>
        <w:spacing w:after="200" w:line="259" w:lineRule="auto"/>
        <w:rPr>
          <w:sz w:val="18"/>
          <w:szCs w:val="18"/>
        </w:rPr>
      </w:pPr>
      <w:r>
        <w:rPr>
          <w:sz w:val="18"/>
          <w:szCs w:val="18"/>
        </w:rPr>
        <w:t xml:space="preserve">In the left pane of the </w:t>
      </w:r>
      <w:proofErr w:type="spellStart"/>
      <w:r>
        <w:rPr>
          <w:sz w:val="18"/>
          <w:szCs w:val="18"/>
        </w:rPr>
        <w:t>LabBook</w:t>
      </w:r>
      <w:proofErr w:type="spellEnd"/>
      <w:r>
        <w:rPr>
          <w:sz w:val="18"/>
          <w:szCs w:val="18"/>
        </w:rPr>
        <w:t>, select Method Parameters: Standards. The Standards window should open, as shown in Figure 8.</w:t>
      </w:r>
    </w:p>
    <w:p w14:paraId="343D710A" w14:textId="77777777" w:rsidR="00E70178" w:rsidRDefault="00000000">
      <w:pPr>
        <w:numPr>
          <w:ilvl w:val="2"/>
          <w:numId w:val="1"/>
        </w:numPr>
        <w:spacing w:after="200" w:line="259" w:lineRule="auto"/>
        <w:rPr>
          <w:b/>
        </w:rPr>
      </w:pPr>
      <w:r>
        <w:rPr>
          <w:b/>
          <w:sz w:val="18"/>
          <w:szCs w:val="18"/>
        </w:rPr>
        <w:t xml:space="preserve">Click the ‘New’/ green + button as shown in Figure 10. Choose ‘Element Standard’ (or ‘Internal Standard’ or ‘Concentration Ratio’). Enter the standard name based on the stock standard number and dilution factor, or lab made standard ID and dilution factor, e.g. Stock_12345_1X for no dilution, 10X for ten times dilution, etc. </w:t>
      </w:r>
    </w:p>
    <w:p w14:paraId="34265B9C" w14:textId="77777777" w:rsidR="00E70178" w:rsidRDefault="00000000">
      <w:pPr>
        <w:numPr>
          <w:ilvl w:val="2"/>
          <w:numId w:val="1"/>
        </w:numPr>
        <w:spacing w:after="200" w:line="259" w:lineRule="auto"/>
      </w:pPr>
      <w:r>
        <w:rPr>
          <w:sz w:val="18"/>
          <w:szCs w:val="18"/>
        </w:rPr>
        <w:t>If you want to use an existing analyte list set up prior, then click the box ‘Create standard using analyte list’.</w:t>
      </w:r>
    </w:p>
    <w:p w14:paraId="3E953462" w14:textId="77777777" w:rsidR="00E70178" w:rsidRDefault="00000000">
      <w:pPr>
        <w:spacing w:after="200" w:line="259" w:lineRule="auto"/>
        <w:ind w:left="720"/>
        <w:rPr>
          <w:sz w:val="18"/>
          <w:szCs w:val="18"/>
        </w:rPr>
      </w:pPr>
      <w:r>
        <w:rPr>
          <w:noProof/>
        </w:rPr>
        <w:lastRenderedPageBreak/>
        <w:drawing>
          <wp:anchor distT="0" distB="0" distL="0" distR="0" simplePos="0" relativeHeight="251659264" behindDoc="0" locked="0" layoutInCell="1" hidden="0" allowOverlap="1" wp14:anchorId="0F6D20D5" wp14:editId="68913257">
            <wp:simplePos x="0" y="0"/>
            <wp:positionH relativeFrom="column">
              <wp:posOffset>-37312</wp:posOffset>
            </wp:positionH>
            <wp:positionV relativeFrom="paragraph">
              <wp:posOffset>408271</wp:posOffset>
            </wp:positionV>
            <wp:extent cx="5980913" cy="4036695"/>
            <wp:effectExtent l="0" t="0" r="0" b="0"/>
            <wp:wrapTopAndBottom distT="0" distB="0"/>
            <wp:docPr id="4" name="image11.jpg" descr="Qtegra_Standards.jpg"/>
            <wp:cNvGraphicFramePr/>
            <a:graphic xmlns:a="http://schemas.openxmlformats.org/drawingml/2006/main">
              <a:graphicData uri="http://schemas.openxmlformats.org/drawingml/2006/picture">
                <pic:pic xmlns:pic="http://schemas.openxmlformats.org/drawingml/2006/picture">
                  <pic:nvPicPr>
                    <pic:cNvPr id="0" name="image11.jpg" descr="Qtegra_Standards.jpg"/>
                    <pic:cNvPicPr preferRelativeResize="0"/>
                  </pic:nvPicPr>
                  <pic:blipFill>
                    <a:blip r:embed="rId12"/>
                    <a:srcRect/>
                    <a:stretch>
                      <a:fillRect/>
                    </a:stretch>
                  </pic:blipFill>
                  <pic:spPr>
                    <a:xfrm>
                      <a:off x="0" y="0"/>
                      <a:ext cx="5980913" cy="4036695"/>
                    </a:xfrm>
                    <a:prstGeom prst="rect">
                      <a:avLst/>
                    </a:prstGeom>
                    <a:ln/>
                  </pic:spPr>
                </pic:pic>
              </a:graphicData>
            </a:graphic>
          </wp:anchor>
        </w:drawing>
      </w:r>
    </w:p>
    <w:p w14:paraId="7D075CBA" w14:textId="77777777" w:rsidR="00E70178" w:rsidRDefault="00000000">
      <w:pPr>
        <w:spacing w:after="200" w:line="259" w:lineRule="auto"/>
        <w:ind w:left="720"/>
        <w:rPr>
          <w:b/>
          <w:sz w:val="20"/>
          <w:szCs w:val="20"/>
        </w:rPr>
      </w:pPr>
      <w:r>
        <w:rPr>
          <w:b/>
          <w:sz w:val="20"/>
          <w:szCs w:val="20"/>
        </w:rPr>
        <w:t>Figure 8. Method Parameters: Standards window</w:t>
      </w:r>
    </w:p>
    <w:p w14:paraId="1E7D5691" w14:textId="77777777" w:rsidR="00E70178" w:rsidRDefault="00000000">
      <w:pPr>
        <w:numPr>
          <w:ilvl w:val="2"/>
          <w:numId w:val="1"/>
        </w:numPr>
        <w:spacing w:after="200" w:line="259" w:lineRule="auto"/>
        <w:rPr>
          <w:b/>
        </w:rPr>
      </w:pPr>
      <w:r>
        <w:rPr>
          <w:b/>
          <w:sz w:val="18"/>
          <w:szCs w:val="18"/>
        </w:rPr>
        <w:t xml:space="preserve">Enter the standard concentrations for each element (double click the desired cell and edit it as needed; note that key shortcuts can be used, see shortcut sheet for fill down, fill up, increment sequential, shift click to select multiple cells, etc.). You can also change units by double clicking the unit cell (e.g. ppm, ppb). These units will be kept all the way through concentration analysis. This is the only place </w:t>
      </w:r>
      <w:proofErr w:type="gramStart"/>
      <w:r>
        <w:rPr>
          <w:b/>
          <w:sz w:val="18"/>
          <w:szCs w:val="18"/>
        </w:rPr>
        <w:t>that</w:t>
      </w:r>
      <w:proofErr w:type="gramEnd"/>
      <w:r>
        <w:rPr>
          <w:b/>
          <w:sz w:val="18"/>
          <w:szCs w:val="18"/>
        </w:rPr>
        <w:t xml:space="preserve"> units can be edited.</w:t>
      </w:r>
    </w:p>
    <w:p w14:paraId="496EAA0E" w14:textId="77777777" w:rsidR="00E70178" w:rsidRDefault="00000000">
      <w:pPr>
        <w:spacing w:after="200" w:line="259" w:lineRule="auto"/>
        <w:ind w:left="720"/>
        <w:rPr>
          <w:sz w:val="18"/>
          <w:szCs w:val="18"/>
        </w:rPr>
      </w:pPr>
      <w:r>
        <w:rPr>
          <w:noProof/>
          <w:sz w:val="18"/>
          <w:szCs w:val="18"/>
        </w:rPr>
        <w:lastRenderedPageBreak/>
        <w:drawing>
          <wp:inline distT="0" distB="0" distL="0" distR="0" wp14:anchorId="25451ED4" wp14:editId="67BC8215">
            <wp:extent cx="4426346" cy="241888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426346" cy="2418884"/>
                    </a:xfrm>
                    <a:prstGeom prst="rect">
                      <a:avLst/>
                    </a:prstGeom>
                    <a:ln/>
                  </pic:spPr>
                </pic:pic>
              </a:graphicData>
            </a:graphic>
          </wp:inline>
        </w:drawing>
      </w:r>
    </w:p>
    <w:p w14:paraId="357EA976" w14:textId="77777777" w:rsidR="00E70178" w:rsidRDefault="00000000">
      <w:pPr>
        <w:spacing w:after="200" w:line="259" w:lineRule="auto"/>
        <w:ind w:left="720"/>
        <w:rPr>
          <w:b/>
          <w:sz w:val="20"/>
          <w:szCs w:val="20"/>
        </w:rPr>
      </w:pPr>
      <w:r>
        <w:rPr>
          <w:b/>
          <w:sz w:val="20"/>
          <w:szCs w:val="20"/>
        </w:rPr>
        <w:t>Figure 11. Adding Analytes and Concentration to Standards</w:t>
      </w:r>
    </w:p>
    <w:p w14:paraId="5737ED8E" w14:textId="77777777" w:rsidR="00E70178" w:rsidRDefault="00000000">
      <w:pPr>
        <w:numPr>
          <w:ilvl w:val="2"/>
          <w:numId w:val="1"/>
        </w:numPr>
        <w:spacing w:after="200" w:line="259" w:lineRule="auto"/>
        <w:rPr>
          <w:b/>
        </w:rPr>
      </w:pPr>
      <w:r>
        <w:rPr>
          <w:b/>
          <w:sz w:val="18"/>
          <w:szCs w:val="18"/>
        </w:rPr>
        <w:t>To copy a standard list and all cell values, right click the name to bring up a dialogue box that allows you to enter the dilution factor (new concentrations calculated using concentrations in the selected row). Rename the copied row by double clicking on the text in the name column (check that the concentrations are correct).</w:t>
      </w:r>
    </w:p>
    <w:p w14:paraId="17A14AB0" w14:textId="77777777" w:rsidR="00E70178" w:rsidRDefault="00000000">
      <w:pPr>
        <w:numPr>
          <w:ilvl w:val="2"/>
          <w:numId w:val="1"/>
        </w:numPr>
        <w:spacing w:after="200" w:line="259" w:lineRule="auto"/>
        <w:rPr>
          <w:b/>
        </w:rPr>
      </w:pPr>
      <w:proofErr w:type="gramStart"/>
      <w:r>
        <w:rPr>
          <w:b/>
          <w:sz w:val="18"/>
          <w:szCs w:val="18"/>
        </w:rPr>
        <w:t>Generally</w:t>
      </w:r>
      <w:proofErr w:type="gramEnd"/>
      <w:r>
        <w:rPr>
          <w:b/>
          <w:sz w:val="18"/>
          <w:szCs w:val="18"/>
        </w:rPr>
        <w:t xml:space="preserve"> do not change the options in “quantification”. (Check what to do for internal standards option). %Ratios: </w:t>
      </w:r>
      <w:proofErr w:type="gramStart"/>
      <w:r>
        <w:rPr>
          <w:b/>
          <w:sz w:val="18"/>
          <w:szCs w:val="18"/>
        </w:rPr>
        <w:t>Generally</w:t>
      </w:r>
      <w:proofErr w:type="gramEnd"/>
      <w:r>
        <w:rPr>
          <w:b/>
          <w:sz w:val="18"/>
          <w:szCs w:val="18"/>
        </w:rPr>
        <w:t xml:space="preserve"> no need to specify ratios. During method development you may want to ratio wavelength for a single element to look for interferences. See Figure 12.</w:t>
      </w:r>
    </w:p>
    <w:p w14:paraId="21BAFD35" w14:textId="77777777" w:rsidR="00E70178" w:rsidRDefault="00000000">
      <w:pPr>
        <w:spacing w:after="200" w:line="259" w:lineRule="auto"/>
        <w:ind w:left="720"/>
        <w:rPr>
          <w:sz w:val="18"/>
          <w:szCs w:val="18"/>
        </w:rPr>
      </w:pPr>
      <w:r>
        <w:rPr>
          <w:noProof/>
          <w:sz w:val="18"/>
          <w:szCs w:val="18"/>
        </w:rPr>
        <w:drawing>
          <wp:inline distT="0" distB="0" distL="0" distR="0" wp14:anchorId="45D73C04" wp14:editId="6D263DDE">
            <wp:extent cx="4020477" cy="247371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020477" cy="2473710"/>
                    </a:xfrm>
                    <a:prstGeom prst="rect">
                      <a:avLst/>
                    </a:prstGeom>
                    <a:ln/>
                  </pic:spPr>
                </pic:pic>
              </a:graphicData>
            </a:graphic>
          </wp:inline>
        </w:drawing>
      </w:r>
    </w:p>
    <w:p w14:paraId="1D90A7BB" w14:textId="77777777" w:rsidR="00E70178" w:rsidRDefault="00000000">
      <w:pPr>
        <w:spacing w:after="200" w:line="259" w:lineRule="auto"/>
        <w:ind w:left="720"/>
        <w:rPr>
          <w:b/>
          <w:sz w:val="20"/>
          <w:szCs w:val="20"/>
        </w:rPr>
      </w:pPr>
      <w:r>
        <w:rPr>
          <w:b/>
          <w:sz w:val="20"/>
          <w:szCs w:val="20"/>
        </w:rPr>
        <w:t>Figure 12. Quantification Menu</w:t>
      </w:r>
    </w:p>
    <w:p w14:paraId="517F83BB" w14:textId="77777777" w:rsidR="00E70178" w:rsidRDefault="00000000">
      <w:pPr>
        <w:numPr>
          <w:ilvl w:val="2"/>
          <w:numId w:val="1"/>
        </w:numPr>
        <w:spacing w:after="200" w:line="259" w:lineRule="auto"/>
        <w:rPr>
          <w:b/>
        </w:rPr>
      </w:pPr>
      <w:r>
        <w:rPr>
          <w:b/>
          <w:sz w:val="18"/>
          <w:szCs w:val="18"/>
        </w:rPr>
        <w:t>ESI SC-2DX: DO NOT CHANGE RACK HERE. If you need to change the rack configuration, then click on ‘Home Page’ in top left, select ‘Dashboard’ tab on left, select ‘ESI SC-2</w:t>
      </w:r>
      <w:proofErr w:type="gramStart"/>
      <w:r>
        <w:rPr>
          <w:b/>
          <w:sz w:val="18"/>
          <w:szCs w:val="18"/>
        </w:rPr>
        <w:t>DX‘ menu</w:t>
      </w:r>
      <w:proofErr w:type="gramEnd"/>
      <w:r>
        <w:rPr>
          <w:b/>
          <w:sz w:val="18"/>
          <w:szCs w:val="18"/>
        </w:rPr>
        <w:t xml:space="preserve"> box (See Figure 13). This is a good time to recheck the sample and standard locations.</w:t>
      </w:r>
    </w:p>
    <w:p w14:paraId="23ED6BC3" w14:textId="5CF7A0D2" w:rsidR="00E70178" w:rsidRDefault="00E70178">
      <w:pPr>
        <w:spacing w:after="200" w:line="259" w:lineRule="auto"/>
        <w:ind w:left="720"/>
        <w:rPr>
          <w:sz w:val="18"/>
          <w:szCs w:val="18"/>
        </w:rPr>
      </w:pPr>
    </w:p>
    <w:p w14:paraId="664BCE9C" w14:textId="77777777" w:rsidR="00E70178" w:rsidRDefault="00000000">
      <w:pPr>
        <w:spacing w:after="200" w:line="259" w:lineRule="auto"/>
        <w:ind w:left="720"/>
        <w:rPr>
          <w:b/>
          <w:sz w:val="20"/>
          <w:szCs w:val="20"/>
        </w:rPr>
      </w:pPr>
      <w:r>
        <w:rPr>
          <w:b/>
          <w:sz w:val="20"/>
          <w:szCs w:val="20"/>
        </w:rPr>
        <w:lastRenderedPageBreak/>
        <w:t>Figure 13. Autosampler Rack Layout. Must match the physical racks in the autosampler.</w:t>
      </w:r>
    </w:p>
    <w:p w14:paraId="05422E69" w14:textId="77777777" w:rsidR="00E70178" w:rsidRDefault="00000000">
      <w:pPr>
        <w:numPr>
          <w:ilvl w:val="1"/>
          <w:numId w:val="1"/>
        </w:numPr>
        <w:spacing w:after="200" w:line="259" w:lineRule="auto"/>
        <w:rPr>
          <w:b/>
        </w:rPr>
      </w:pPr>
      <w:r>
        <w:rPr>
          <w:b/>
        </w:rPr>
        <w:t>Enter Samples in Sample List</w:t>
      </w:r>
    </w:p>
    <w:p w14:paraId="56FB2FA9" w14:textId="77777777" w:rsidR="00E70178" w:rsidRDefault="00000000">
      <w:pPr>
        <w:numPr>
          <w:ilvl w:val="2"/>
          <w:numId w:val="1"/>
        </w:numPr>
        <w:spacing w:after="200" w:line="259" w:lineRule="auto"/>
        <w:rPr>
          <w:b/>
        </w:rPr>
      </w:pPr>
      <w:r>
        <w:rPr>
          <w:b/>
          <w:sz w:val="18"/>
          <w:szCs w:val="18"/>
        </w:rPr>
        <w:t xml:space="preserve">Select your </w:t>
      </w:r>
      <w:proofErr w:type="spellStart"/>
      <w:r>
        <w:rPr>
          <w:b/>
          <w:sz w:val="18"/>
          <w:szCs w:val="18"/>
        </w:rPr>
        <w:t>LabBook</w:t>
      </w:r>
      <w:proofErr w:type="spellEnd"/>
      <w:r>
        <w:rPr>
          <w:b/>
          <w:sz w:val="18"/>
          <w:szCs w:val="18"/>
        </w:rPr>
        <w:t xml:space="preserve"> from the top bar of </w:t>
      </w:r>
      <w:proofErr w:type="spellStart"/>
      <w:r>
        <w:rPr>
          <w:b/>
          <w:sz w:val="18"/>
          <w:szCs w:val="18"/>
        </w:rPr>
        <w:t>Qtegra</w:t>
      </w:r>
      <w:proofErr w:type="spellEnd"/>
      <w:r>
        <w:rPr>
          <w:b/>
          <w:sz w:val="18"/>
          <w:szCs w:val="18"/>
        </w:rPr>
        <w:t xml:space="preserve"> and go to the Sample List menu. See Figure 14.</w:t>
      </w:r>
    </w:p>
    <w:p w14:paraId="7D60451A" w14:textId="77777777" w:rsidR="00E70178" w:rsidRDefault="00000000">
      <w:pPr>
        <w:spacing w:after="200" w:line="259" w:lineRule="auto"/>
        <w:ind w:left="720"/>
        <w:rPr>
          <w:sz w:val="18"/>
          <w:szCs w:val="18"/>
        </w:rPr>
      </w:pPr>
      <w:r>
        <w:rPr>
          <w:noProof/>
          <w:sz w:val="18"/>
          <w:szCs w:val="18"/>
        </w:rPr>
        <w:drawing>
          <wp:inline distT="0" distB="0" distL="0" distR="0" wp14:anchorId="4988FC28" wp14:editId="273E75AE">
            <wp:extent cx="4574468" cy="231949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574468" cy="2319490"/>
                    </a:xfrm>
                    <a:prstGeom prst="rect">
                      <a:avLst/>
                    </a:prstGeom>
                    <a:ln/>
                  </pic:spPr>
                </pic:pic>
              </a:graphicData>
            </a:graphic>
          </wp:inline>
        </w:drawing>
      </w:r>
    </w:p>
    <w:p w14:paraId="7147E70F" w14:textId="77777777" w:rsidR="00E70178" w:rsidRDefault="00000000">
      <w:pPr>
        <w:spacing w:after="200" w:line="259" w:lineRule="auto"/>
        <w:ind w:left="720"/>
        <w:rPr>
          <w:b/>
          <w:sz w:val="20"/>
          <w:szCs w:val="20"/>
        </w:rPr>
      </w:pPr>
      <w:r>
        <w:rPr>
          <w:b/>
          <w:sz w:val="20"/>
          <w:szCs w:val="20"/>
        </w:rPr>
        <w:t>Figure 14. Sample List</w:t>
      </w:r>
    </w:p>
    <w:p w14:paraId="6E782AF3" w14:textId="77777777" w:rsidR="00E70178" w:rsidRDefault="00000000">
      <w:pPr>
        <w:numPr>
          <w:ilvl w:val="2"/>
          <w:numId w:val="1"/>
        </w:numPr>
        <w:spacing w:after="200" w:line="259" w:lineRule="auto"/>
        <w:rPr>
          <w:b/>
        </w:rPr>
      </w:pPr>
      <w:r>
        <w:rPr>
          <w:b/>
          <w:sz w:val="18"/>
          <w:szCs w:val="18"/>
        </w:rPr>
        <w:t xml:space="preserve">Enter labels/names in order of what is to be run. Typical example: Blank (as Blank), Standard solutions (put in from lowest to highest concentration), Lab prep blank (as unknown), Sample names (as </w:t>
      </w:r>
      <w:proofErr w:type="gramStart"/>
      <w:r>
        <w:rPr>
          <w:b/>
          <w:sz w:val="18"/>
          <w:szCs w:val="18"/>
        </w:rPr>
        <w:t>unknowns</w:t>
      </w:r>
      <w:proofErr w:type="gramEnd"/>
      <w:r>
        <w:rPr>
          <w:b/>
          <w:sz w:val="18"/>
          <w:szCs w:val="18"/>
        </w:rPr>
        <w:t xml:space="preserve">). </w:t>
      </w:r>
    </w:p>
    <w:p w14:paraId="131499E7" w14:textId="77777777" w:rsidR="00E70178" w:rsidRDefault="00000000">
      <w:pPr>
        <w:numPr>
          <w:ilvl w:val="2"/>
          <w:numId w:val="1"/>
        </w:numPr>
        <w:spacing w:after="200" w:line="259" w:lineRule="auto"/>
        <w:rPr>
          <w:b/>
        </w:rPr>
      </w:pPr>
      <w:r>
        <w:rPr>
          <w:b/>
          <w:sz w:val="18"/>
          <w:szCs w:val="18"/>
        </w:rPr>
        <w:t xml:space="preserve">In the </w:t>
      </w:r>
      <w:proofErr w:type="gramStart"/>
      <w:r>
        <w:rPr>
          <w:b/>
          <w:sz w:val="18"/>
          <w:szCs w:val="18"/>
        </w:rPr>
        <w:t>type</w:t>
      </w:r>
      <w:proofErr w:type="gramEnd"/>
      <w:r>
        <w:rPr>
          <w:b/>
          <w:sz w:val="18"/>
          <w:szCs w:val="18"/>
        </w:rPr>
        <w:t xml:space="preserve"> column choose: STD, BLK, or UNKNOWN. [All should have a similar matrix, e.g. 2% HNO3). Enter number of repeats (typically 3).</w:t>
      </w:r>
    </w:p>
    <w:p w14:paraId="1860DC82" w14:textId="77777777" w:rsidR="00E70178" w:rsidRDefault="00000000">
      <w:pPr>
        <w:numPr>
          <w:ilvl w:val="2"/>
          <w:numId w:val="1"/>
        </w:numPr>
        <w:spacing w:after="200" w:line="259" w:lineRule="auto"/>
        <w:rPr>
          <w:b/>
        </w:rPr>
      </w:pPr>
      <w:r>
        <w:rPr>
          <w:b/>
          <w:sz w:val="18"/>
          <w:szCs w:val="18"/>
        </w:rPr>
        <w:t>Click ‘Full Frame’ if you want to save a qualitative spectral image for a sample/ standard. Somewhere there is a speed option- do not use Sprint.</w:t>
      </w:r>
    </w:p>
    <w:p w14:paraId="56F8136F" w14:textId="77777777" w:rsidR="00E70178" w:rsidRDefault="00000000">
      <w:pPr>
        <w:numPr>
          <w:ilvl w:val="2"/>
          <w:numId w:val="1"/>
        </w:numPr>
        <w:spacing w:after="200" w:line="259" w:lineRule="auto"/>
        <w:rPr>
          <w:b/>
        </w:rPr>
      </w:pPr>
      <w:r>
        <w:rPr>
          <w:b/>
          <w:sz w:val="18"/>
          <w:szCs w:val="18"/>
        </w:rPr>
        <w:t>Put in another Rinse, Blank after 10 unknowns to check for any sticky contamination.</w:t>
      </w:r>
    </w:p>
    <w:p w14:paraId="060E699C" w14:textId="77777777" w:rsidR="00E70178" w:rsidRDefault="00000000">
      <w:pPr>
        <w:numPr>
          <w:ilvl w:val="2"/>
          <w:numId w:val="1"/>
        </w:numPr>
        <w:spacing w:after="200" w:line="259" w:lineRule="auto"/>
        <w:rPr>
          <w:b/>
        </w:rPr>
      </w:pPr>
      <w:r>
        <w:rPr>
          <w:b/>
          <w:sz w:val="18"/>
          <w:szCs w:val="18"/>
        </w:rPr>
        <w:t xml:space="preserve">To add a </w:t>
      </w:r>
      <w:proofErr w:type="gramStart"/>
      <w:r>
        <w:rPr>
          <w:b/>
          <w:sz w:val="18"/>
          <w:szCs w:val="18"/>
        </w:rPr>
        <w:t>line</w:t>
      </w:r>
      <w:proofErr w:type="gramEnd"/>
      <w:r>
        <w:rPr>
          <w:b/>
          <w:sz w:val="18"/>
          <w:szCs w:val="18"/>
        </w:rPr>
        <w:t xml:space="preserve"> use the green plus ‘Add’ button from the menu bar.</w:t>
      </w:r>
    </w:p>
    <w:p w14:paraId="71F648CE" w14:textId="77777777" w:rsidR="00E70178" w:rsidRDefault="00000000">
      <w:pPr>
        <w:numPr>
          <w:ilvl w:val="2"/>
          <w:numId w:val="1"/>
        </w:numPr>
        <w:spacing w:after="200" w:line="259" w:lineRule="auto"/>
        <w:rPr>
          <w:b/>
        </w:rPr>
      </w:pPr>
      <w:r>
        <w:rPr>
          <w:b/>
          <w:sz w:val="18"/>
          <w:szCs w:val="18"/>
        </w:rPr>
        <w:t>Make sure that the sample locations in the sample list match the correct RACK and VIAL position as the physical location in the autosampler.</w:t>
      </w:r>
    </w:p>
    <w:p w14:paraId="1053FD73" w14:textId="77777777" w:rsidR="00E70178" w:rsidRDefault="00000000">
      <w:pPr>
        <w:numPr>
          <w:ilvl w:val="1"/>
          <w:numId w:val="1"/>
        </w:numPr>
        <w:spacing w:after="200" w:line="259" w:lineRule="auto"/>
        <w:rPr>
          <w:b/>
        </w:rPr>
      </w:pPr>
      <w:r>
        <w:rPr>
          <w:b/>
        </w:rPr>
        <w:t>Schedule and Run</w:t>
      </w:r>
    </w:p>
    <w:p w14:paraId="012EECF0" w14:textId="77777777" w:rsidR="00E70178" w:rsidRDefault="00000000">
      <w:pPr>
        <w:numPr>
          <w:ilvl w:val="2"/>
          <w:numId w:val="1"/>
        </w:numPr>
        <w:spacing w:after="200" w:line="259" w:lineRule="auto"/>
        <w:rPr>
          <w:b/>
        </w:rPr>
      </w:pPr>
      <w:r>
        <w:rPr>
          <w:b/>
          <w:sz w:val="18"/>
          <w:szCs w:val="18"/>
        </w:rPr>
        <w:t xml:space="preserve">When the </w:t>
      </w:r>
      <w:proofErr w:type="spellStart"/>
      <w:r>
        <w:rPr>
          <w:b/>
          <w:sz w:val="18"/>
          <w:szCs w:val="18"/>
        </w:rPr>
        <w:t>LabBook</w:t>
      </w:r>
      <w:proofErr w:type="spellEnd"/>
      <w:r>
        <w:rPr>
          <w:b/>
          <w:sz w:val="18"/>
          <w:szCs w:val="18"/>
        </w:rPr>
        <w:t xml:space="preserve"> (list of samples/standards and analysis settings) is set up, you are ready to schedule the run. Click the green play button in the top menu bar (near left). This will put the named </w:t>
      </w:r>
      <w:proofErr w:type="spellStart"/>
      <w:r>
        <w:rPr>
          <w:b/>
          <w:sz w:val="18"/>
          <w:szCs w:val="18"/>
        </w:rPr>
        <w:t>labbook</w:t>
      </w:r>
      <w:proofErr w:type="spellEnd"/>
      <w:r>
        <w:rPr>
          <w:b/>
          <w:sz w:val="18"/>
          <w:szCs w:val="18"/>
        </w:rPr>
        <w:t xml:space="preserve"> into the scheduler on the bottom. You can schedule additional </w:t>
      </w:r>
      <w:proofErr w:type="spellStart"/>
      <w:proofErr w:type="gramStart"/>
      <w:r>
        <w:rPr>
          <w:b/>
          <w:sz w:val="18"/>
          <w:szCs w:val="18"/>
        </w:rPr>
        <w:t>LabBooks</w:t>
      </w:r>
      <w:proofErr w:type="spellEnd"/>
      <w:r>
        <w:rPr>
          <w:b/>
          <w:sz w:val="18"/>
          <w:szCs w:val="18"/>
        </w:rPr>
        <w:t xml:space="preserve">  if</w:t>
      </w:r>
      <w:proofErr w:type="gramEnd"/>
      <w:r>
        <w:rPr>
          <w:b/>
          <w:sz w:val="18"/>
          <w:szCs w:val="18"/>
        </w:rPr>
        <w:t xml:space="preserve"> desired.</w:t>
      </w:r>
    </w:p>
    <w:p w14:paraId="00446398" w14:textId="77777777" w:rsidR="00E70178" w:rsidRDefault="00000000">
      <w:pPr>
        <w:numPr>
          <w:ilvl w:val="2"/>
          <w:numId w:val="1"/>
        </w:numPr>
        <w:spacing w:after="200" w:line="259" w:lineRule="auto"/>
        <w:rPr>
          <w:b/>
        </w:rPr>
      </w:pPr>
      <w:r>
        <w:rPr>
          <w:b/>
          <w:sz w:val="18"/>
          <w:szCs w:val="18"/>
        </w:rPr>
        <w:t>Now we are ready to RUN. Click on the Scheduler window in the lower part of the screen and click the green play button. (check to see if it can deselect / select within the scheduler).</w:t>
      </w:r>
    </w:p>
    <w:p w14:paraId="5AAD7EBB" w14:textId="77777777" w:rsidR="00E70178" w:rsidRDefault="00000000">
      <w:pPr>
        <w:numPr>
          <w:ilvl w:val="2"/>
          <w:numId w:val="1"/>
        </w:numPr>
        <w:spacing w:after="200" w:line="259" w:lineRule="auto"/>
        <w:rPr>
          <w:b/>
        </w:rPr>
      </w:pPr>
      <w:r>
        <w:rPr>
          <w:b/>
          <w:sz w:val="18"/>
          <w:szCs w:val="18"/>
        </w:rPr>
        <w:t xml:space="preserve">You can monitor your run by the status icon next to the sample name. Green arrow means the sample is currently being injected and a green circle indicates that the </w:t>
      </w:r>
      <w:r>
        <w:rPr>
          <w:b/>
          <w:sz w:val="18"/>
          <w:szCs w:val="18"/>
        </w:rPr>
        <w:lastRenderedPageBreak/>
        <w:t>sample is finished running. You can analyze the data in real time as it is coming off the instrument by going to the concentration side tab. This allows you to see how linear the standard curve is and the calculated concentration of your unknowns.</w:t>
      </w:r>
    </w:p>
    <w:p w14:paraId="4CE3C055" w14:textId="77777777" w:rsidR="00E70178" w:rsidRDefault="00000000">
      <w:pPr>
        <w:numPr>
          <w:ilvl w:val="1"/>
          <w:numId w:val="1"/>
        </w:numPr>
        <w:spacing w:after="200" w:line="259" w:lineRule="auto"/>
        <w:rPr>
          <w:b/>
        </w:rPr>
      </w:pPr>
      <w:r>
        <w:rPr>
          <w:b/>
        </w:rPr>
        <w:t>Instrument Shutdown</w:t>
      </w:r>
    </w:p>
    <w:p w14:paraId="58565CA3" w14:textId="77777777" w:rsidR="00E70178" w:rsidRDefault="00000000">
      <w:pPr>
        <w:numPr>
          <w:ilvl w:val="2"/>
          <w:numId w:val="1"/>
        </w:numPr>
        <w:spacing w:after="200" w:line="259" w:lineRule="auto"/>
        <w:rPr>
          <w:b/>
        </w:rPr>
      </w:pPr>
      <w:r>
        <w:rPr>
          <w:b/>
          <w:sz w:val="18"/>
          <w:szCs w:val="18"/>
        </w:rPr>
        <w:t>After the run has been successfully completed, select the ESi SC-2DX Autosampler and move the probe into the Rinse Solution. Allow the Rinse to proceed for 10 minutes to clean the flow path.</w:t>
      </w:r>
    </w:p>
    <w:p w14:paraId="042CB84E" w14:textId="77777777" w:rsidR="00E70178" w:rsidRDefault="00000000">
      <w:pPr>
        <w:spacing w:after="200" w:line="259" w:lineRule="auto"/>
        <w:ind w:left="720"/>
        <w:rPr>
          <w:sz w:val="18"/>
          <w:szCs w:val="18"/>
        </w:rPr>
      </w:pPr>
      <w:r>
        <w:rPr>
          <w:noProof/>
          <w:sz w:val="18"/>
          <w:szCs w:val="18"/>
        </w:rPr>
        <w:drawing>
          <wp:inline distT="0" distB="0" distL="0" distR="0" wp14:anchorId="22356450" wp14:editId="75560B34">
            <wp:extent cx="3479302" cy="43643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479302" cy="4364388"/>
                    </a:xfrm>
                    <a:prstGeom prst="rect">
                      <a:avLst/>
                    </a:prstGeom>
                    <a:ln/>
                  </pic:spPr>
                </pic:pic>
              </a:graphicData>
            </a:graphic>
          </wp:inline>
        </w:drawing>
      </w:r>
    </w:p>
    <w:p w14:paraId="42A728B5" w14:textId="77777777" w:rsidR="00E70178" w:rsidRDefault="00000000">
      <w:pPr>
        <w:spacing w:after="200" w:line="259" w:lineRule="auto"/>
        <w:ind w:left="720"/>
        <w:rPr>
          <w:b/>
          <w:sz w:val="20"/>
          <w:szCs w:val="20"/>
        </w:rPr>
      </w:pPr>
      <w:r>
        <w:rPr>
          <w:b/>
          <w:sz w:val="20"/>
          <w:szCs w:val="20"/>
        </w:rPr>
        <w:t>Figure 15. Autosampler Rinse Position</w:t>
      </w:r>
    </w:p>
    <w:p w14:paraId="21D16D37" w14:textId="77777777" w:rsidR="00E70178" w:rsidRDefault="00000000">
      <w:pPr>
        <w:numPr>
          <w:ilvl w:val="2"/>
          <w:numId w:val="1"/>
        </w:numPr>
        <w:spacing w:after="200" w:line="259" w:lineRule="auto"/>
        <w:rPr>
          <w:b/>
        </w:rPr>
      </w:pPr>
      <w:r>
        <w:rPr>
          <w:b/>
          <w:sz w:val="18"/>
          <w:szCs w:val="18"/>
        </w:rPr>
        <w:t>Move the Probe out of the Rinse Solution and let the instrument run dry for 60 seconds. Monitor the peristaltic pump tubing and the spray chamber to ensure that there is no more liquid going into the system.</w:t>
      </w:r>
    </w:p>
    <w:p w14:paraId="7A579910" w14:textId="5D2B9F92" w:rsidR="00E70178" w:rsidRDefault="00000000">
      <w:pPr>
        <w:numPr>
          <w:ilvl w:val="2"/>
          <w:numId w:val="1"/>
        </w:numPr>
        <w:spacing w:after="200" w:line="259" w:lineRule="auto"/>
        <w:rPr>
          <w:b/>
        </w:rPr>
      </w:pPr>
      <w:r>
        <w:rPr>
          <w:b/>
          <w:sz w:val="18"/>
          <w:szCs w:val="18"/>
        </w:rPr>
        <w:t>Select the blue GET READY button at the top of the screen. Select [Turn Off plasma].</w:t>
      </w:r>
    </w:p>
    <w:p w14:paraId="0D9802F6" w14:textId="77777777" w:rsidR="00E70178" w:rsidRDefault="00000000">
      <w:pPr>
        <w:numPr>
          <w:ilvl w:val="2"/>
          <w:numId w:val="1"/>
        </w:numPr>
        <w:spacing w:after="200" w:line="259" w:lineRule="auto"/>
        <w:rPr>
          <w:b/>
        </w:rPr>
      </w:pPr>
      <w:r>
        <w:rPr>
          <w:b/>
          <w:sz w:val="18"/>
          <w:szCs w:val="18"/>
        </w:rPr>
        <w:t xml:space="preserve">After the Peristaltic Pump has stopped rotating, release the tube holders so that the tubing is </w:t>
      </w:r>
      <w:proofErr w:type="gramStart"/>
      <w:r>
        <w:rPr>
          <w:b/>
          <w:sz w:val="18"/>
          <w:szCs w:val="18"/>
        </w:rPr>
        <w:t>slack</w:t>
      </w:r>
      <w:proofErr w:type="gramEnd"/>
      <w:r>
        <w:rPr>
          <w:b/>
          <w:sz w:val="18"/>
          <w:szCs w:val="18"/>
        </w:rPr>
        <w:t xml:space="preserve"> to help preserve its longevity.</w:t>
      </w:r>
    </w:p>
    <w:p w14:paraId="13705ABE" w14:textId="7005C571" w:rsidR="00E70178" w:rsidRDefault="00000000">
      <w:pPr>
        <w:numPr>
          <w:ilvl w:val="2"/>
          <w:numId w:val="1"/>
        </w:numPr>
        <w:spacing w:after="200" w:line="259" w:lineRule="auto"/>
        <w:rPr>
          <w:b/>
        </w:rPr>
      </w:pPr>
      <w:r>
        <w:rPr>
          <w:b/>
          <w:sz w:val="18"/>
          <w:szCs w:val="18"/>
        </w:rPr>
        <w:t>Turn off the Chiller ~</w:t>
      </w:r>
      <w:r w:rsidR="00CA47A1">
        <w:rPr>
          <w:b/>
          <w:sz w:val="18"/>
          <w:szCs w:val="18"/>
        </w:rPr>
        <w:t>10</w:t>
      </w:r>
      <w:r>
        <w:rPr>
          <w:b/>
          <w:sz w:val="18"/>
          <w:szCs w:val="18"/>
        </w:rPr>
        <w:t xml:space="preserve"> minutes after the Plasma has extinguished.</w:t>
      </w:r>
    </w:p>
    <w:p w14:paraId="5855D56F" w14:textId="28746967" w:rsidR="00E70178" w:rsidRDefault="00000000">
      <w:pPr>
        <w:numPr>
          <w:ilvl w:val="2"/>
          <w:numId w:val="1"/>
        </w:numPr>
        <w:spacing w:after="200" w:line="259" w:lineRule="auto"/>
        <w:rPr>
          <w:b/>
        </w:rPr>
      </w:pPr>
      <w:r>
        <w:rPr>
          <w:b/>
          <w:sz w:val="18"/>
          <w:szCs w:val="18"/>
        </w:rPr>
        <w:t>Remove you</w:t>
      </w:r>
      <w:r w:rsidR="00CA47A1">
        <w:rPr>
          <w:b/>
          <w:sz w:val="18"/>
          <w:szCs w:val="18"/>
        </w:rPr>
        <w:t>r</w:t>
      </w:r>
      <w:r>
        <w:rPr>
          <w:b/>
          <w:sz w:val="18"/>
          <w:szCs w:val="18"/>
        </w:rPr>
        <w:t xml:space="preserve"> samples from the </w:t>
      </w:r>
      <w:proofErr w:type="spellStart"/>
      <w:proofErr w:type="gramStart"/>
      <w:r>
        <w:rPr>
          <w:b/>
          <w:sz w:val="18"/>
          <w:szCs w:val="18"/>
        </w:rPr>
        <w:t>AutoSampler</w:t>
      </w:r>
      <w:proofErr w:type="spellEnd"/>
      <w:proofErr w:type="gramEnd"/>
    </w:p>
    <w:p w14:paraId="6FE9D5D1" w14:textId="77777777" w:rsidR="00E70178" w:rsidRDefault="00000000">
      <w:pPr>
        <w:numPr>
          <w:ilvl w:val="2"/>
          <w:numId w:val="1"/>
        </w:numPr>
        <w:spacing w:after="200" w:line="259" w:lineRule="auto"/>
        <w:rPr>
          <w:b/>
        </w:rPr>
      </w:pPr>
      <w:r>
        <w:rPr>
          <w:b/>
          <w:sz w:val="18"/>
          <w:szCs w:val="18"/>
        </w:rPr>
        <w:lastRenderedPageBreak/>
        <w:t>Check the Waste Container, empty if needed.</w:t>
      </w:r>
    </w:p>
    <w:p w14:paraId="78BCB29A" w14:textId="77777777" w:rsidR="00E70178" w:rsidRDefault="00000000">
      <w:pPr>
        <w:numPr>
          <w:ilvl w:val="0"/>
          <w:numId w:val="1"/>
        </w:numPr>
        <w:spacing w:after="200" w:line="259" w:lineRule="auto"/>
        <w:rPr>
          <w:b/>
          <w:sz w:val="26"/>
          <w:szCs w:val="26"/>
        </w:rPr>
      </w:pPr>
      <w:r>
        <w:rPr>
          <w:b/>
          <w:sz w:val="26"/>
          <w:szCs w:val="26"/>
        </w:rPr>
        <w:t>Data Analysis</w:t>
      </w:r>
    </w:p>
    <w:p w14:paraId="7A1CAB90" w14:textId="77777777" w:rsidR="00E70178" w:rsidRDefault="00000000">
      <w:pPr>
        <w:numPr>
          <w:ilvl w:val="1"/>
          <w:numId w:val="1"/>
        </w:numPr>
        <w:spacing w:after="200" w:line="259" w:lineRule="auto"/>
        <w:rPr>
          <w:b/>
        </w:rPr>
      </w:pPr>
      <w:r>
        <w:rPr>
          <w:b/>
        </w:rPr>
        <w:t>Check Standards for Linearity</w:t>
      </w:r>
    </w:p>
    <w:p w14:paraId="38EEA9A0" w14:textId="77777777" w:rsidR="00E70178" w:rsidRDefault="00000000">
      <w:pPr>
        <w:numPr>
          <w:ilvl w:val="2"/>
          <w:numId w:val="1"/>
        </w:numPr>
        <w:spacing w:after="200" w:line="259" w:lineRule="auto"/>
        <w:rPr>
          <w:b/>
        </w:rPr>
      </w:pPr>
      <w:r>
        <w:rPr>
          <w:b/>
          <w:sz w:val="18"/>
          <w:szCs w:val="18"/>
        </w:rPr>
        <w:t>Each analyte will have a standard curve generated from the standards of different concentrations.</w:t>
      </w:r>
    </w:p>
    <w:p w14:paraId="36EE31C6" w14:textId="77777777" w:rsidR="00E70178" w:rsidRDefault="00000000">
      <w:pPr>
        <w:numPr>
          <w:ilvl w:val="3"/>
          <w:numId w:val="1"/>
        </w:numPr>
        <w:spacing w:after="200" w:line="259" w:lineRule="auto"/>
      </w:pPr>
      <w:r>
        <w:rPr>
          <w:sz w:val="18"/>
          <w:szCs w:val="18"/>
        </w:rPr>
        <w:t xml:space="preserve">If you have multiple wavelengths for a single analyte analysis the standard curve to determine if one </w:t>
      </w:r>
      <w:proofErr w:type="gramStart"/>
      <w:r>
        <w:rPr>
          <w:sz w:val="18"/>
          <w:szCs w:val="18"/>
        </w:rPr>
        <w:t>wavelength  is</w:t>
      </w:r>
      <w:proofErr w:type="gramEnd"/>
      <w:r>
        <w:rPr>
          <w:sz w:val="18"/>
          <w:szCs w:val="18"/>
        </w:rPr>
        <w:t xml:space="preserve"> giving more accurate results</w:t>
      </w:r>
    </w:p>
    <w:p w14:paraId="6AF839D1" w14:textId="77777777" w:rsidR="00E70178" w:rsidRDefault="00000000">
      <w:pPr>
        <w:numPr>
          <w:ilvl w:val="3"/>
          <w:numId w:val="1"/>
        </w:numPr>
        <w:spacing w:after="200" w:line="259" w:lineRule="auto"/>
      </w:pPr>
      <w:r>
        <w:rPr>
          <w:sz w:val="18"/>
          <w:szCs w:val="18"/>
        </w:rPr>
        <w:t xml:space="preserve">R² will be ~1.0 for an analyte with a standard curve that is within the linear </w:t>
      </w:r>
      <w:proofErr w:type="gramStart"/>
      <w:r>
        <w:rPr>
          <w:sz w:val="18"/>
          <w:szCs w:val="18"/>
        </w:rPr>
        <w:t>range</w:t>
      </w:r>
      <w:proofErr w:type="gramEnd"/>
    </w:p>
    <w:p w14:paraId="4FCEEC4E" w14:textId="77777777" w:rsidR="00E70178" w:rsidRDefault="00000000">
      <w:pPr>
        <w:numPr>
          <w:ilvl w:val="2"/>
          <w:numId w:val="1"/>
        </w:numPr>
        <w:spacing w:after="200" w:line="259" w:lineRule="auto"/>
        <w:rPr>
          <w:b/>
        </w:rPr>
      </w:pPr>
      <w:r>
        <w:rPr>
          <w:b/>
          <w:sz w:val="18"/>
          <w:szCs w:val="18"/>
        </w:rPr>
        <w:t>If any Standards look like they may have an injection issue or a value that does not make sense individual data points can be excluded from the linear regression</w:t>
      </w:r>
    </w:p>
    <w:p w14:paraId="504C3D08" w14:textId="77777777" w:rsidR="00E70178" w:rsidRDefault="00000000">
      <w:pPr>
        <w:numPr>
          <w:ilvl w:val="1"/>
          <w:numId w:val="1"/>
        </w:numPr>
        <w:spacing w:after="200" w:line="259" w:lineRule="auto"/>
        <w:rPr>
          <w:b/>
        </w:rPr>
      </w:pPr>
      <w:r>
        <w:rPr>
          <w:b/>
        </w:rPr>
        <w:t>Check the Blanks</w:t>
      </w:r>
    </w:p>
    <w:p w14:paraId="17CE4DCD" w14:textId="77777777" w:rsidR="00E70178" w:rsidRDefault="00000000">
      <w:pPr>
        <w:numPr>
          <w:ilvl w:val="2"/>
          <w:numId w:val="1"/>
        </w:numPr>
        <w:spacing w:after="200" w:line="259" w:lineRule="auto"/>
        <w:rPr>
          <w:b/>
        </w:rPr>
      </w:pPr>
      <w:r>
        <w:rPr>
          <w:b/>
          <w:sz w:val="18"/>
          <w:szCs w:val="18"/>
        </w:rPr>
        <w:t>There should be multiple blanks in your run. An initial blank assigned as “Blank” in the sample list to zero out the detector, and subsequent blanks after the standards and at the end of the run assigned as “Unknowns”.</w:t>
      </w:r>
    </w:p>
    <w:p w14:paraId="608B688B" w14:textId="77777777" w:rsidR="00E70178" w:rsidRDefault="00000000">
      <w:pPr>
        <w:numPr>
          <w:ilvl w:val="3"/>
          <w:numId w:val="1"/>
        </w:numPr>
        <w:spacing w:after="200" w:line="259" w:lineRule="auto"/>
      </w:pPr>
      <w:r>
        <w:rPr>
          <w:sz w:val="18"/>
          <w:szCs w:val="18"/>
        </w:rPr>
        <w:t xml:space="preserve">Check both the concentration values and the count values for each Blank injection to see if there is any carryover occurring or if your sample Blank or Rinse solution may be contaminated with an analyte of </w:t>
      </w:r>
      <w:proofErr w:type="gramStart"/>
      <w:r>
        <w:rPr>
          <w:sz w:val="18"/>
          <w:szCs w:val="18"/>
        </w:rPr>
        <w:t>interest</w:t>
      </w:r>
      <w:proofErr w:type="gramEnd"/>
    </w:p>
    <w:p w14:paraId="5F3689BD" w14:textId="77777777" w:rsidR="00E70178" w:rsidRDefault="00000000">
      <w:pPr>
        <w:numPr>
          <w:ilvl w:val="1"/>
          <w:numId w:val="1"/>
        </w:numPr>
        <w:spacing w:after="200" w:line="259" w:lineRule="auto"/>
        <w:rPr>
          <w:b/>
        </w:rPr>
      </w:pPr>
      <w:r>
        <w:rPr>
          <w:b/>
        </w:rPr>
        <w:t>Export Data</w:t>
      </w:r>
    </w:p>
    <w:p w14:paraId="4A4F116B" w14:textId="77777777" w:rsidR="00E70178" w:rsidRDefault="00000000">
      <w:pPr>
        <w:numPr>
          <w:ilvl w:val="2"/>
          <w:numId w:val="1"/>
        </w:numPr>
        <w:spacing w:after="200" w:line="259" w:lineRule="auto"/>
        <w:rPr>
          <w:b/>
        </w:rPr>
      </w:pPr>
      <w:r>
        <w:rPr>
          <w:b/>
          <w:sz w:val="18"/>
          <w:szCs w:val="18"/>
        </w:rPr>
        <w:t xml:space="preserve">Data Should be exported as an .xml file type that can then be opened in Excel. </w:t>
      </w:r>
    </w:p>
    <w:p w14:paraId="565C1614" w14:textId="77777777" w:rsidR="00E70178" w:rsidRDefault="00000000">
      <w:pPr>
        <w:numPr>
          <w:ilvl w:val="3"/>
          <w:numId w:val="1"/>
        </w:numPr>
        <w:spacing w:after="200" w:line="259" w:lineRule="auto"/>
      </w:pPr>
      <w:r>
        <w:rPr>
          <w:sz w:val="18"/>
          <w:szCs w:val="18"/>
        </w:rPr>
        <w:t>Use the Excel Export Template to quickly export data. This template will export the raw concentration average and the count averages for all the analytes along with their dilution factor and sample name.</w:t>
      </w:r>
    </w:p>
    <w:p w14:paraId="25C7DFCC" w14:textId="77777777" w:rsidR="00E70178" w:rsidRDefault="00000000">
      <w:pPr>
        <w:numPr>
          <w:ilvl w:val="3"/>
          <w:numId w:val="1"/>
        </w:numPr>
        <w:spacing w:after="200" w:line="259" w:lineRule="auto"/>
      </w:pPr>
      <w:r>
        <w:rPr>
          <w:sz w:val="18"/>
          <w:szCs w:val="18"/>
        </w:rPr>
        <w:t xml:space="preserve">You can create a custom export template if you wish to export more </w:t>
      </w:r>
      <w:proofErr w:type="gramStart"/>
      <w:r>
        <w:rPr>
          <w:sz w:val="18"/>
          <w:szCs w:val="18"/>
        </w:rPr>
        <w:t>data</w:t>
      </w:r>
      <w:proofErr w:type="gramEnd"/>
    </w:p>
    <w:p w14:paraId="7FE1697A" w14:textId="77777777" w:rsidR="00E70178" w:rsidRDefault="00000000">
      <w:pPr>
        <w:numPr>
          <w:ilvl w:val="2"/>
          <w:numId w:val="1"/>
        </w:numPr>
        <w:spacing w:after="200" w:line="259" w:lineRule="auto"/>
        <w:rPr>
          <w:b/>
        </w:rPr>
      </w:pPr>
      <w:r>
        <w:rPr>
          <w:b/>
          <w:sz w:val="18"/>
          <w:szCs w:val="18"/>
        </w:rPr>
        <w:t>After opening the file in Excel, convert the file into an Excel file for easier transfer.</w:t>
      </w:r>
    </w:p>
    <w:p w14:paraId="05985B65" w14:textId="77777777" w:rsidR="00E70178" w:rsidRDefault="00000000">
      <w:pPr>
        <w:numPr>
          <w:ilvl w:val="2"/>
          <w:numId w:val="1"/>
        </w:numPr>
        <w:spacing w:after="200" w:line="259" w:lineRule="auto"/>
        <w:rPr>
          <w:b/>
        </w:rPr>
      </w:pPr>
      <w:r>
        <w:rPr>
          <w:b/>
          <w:sz w:val="18"/>
          <w:szCs w:val="18"/>
        </w:rPr>
        <w:t xml:space="preserve">Move data onto a flash drive to move to a different </w:t>
      </w:r>
      <w:proofErr w:type="gramStart"/>
      <w:r>
        <w:rPr>
          <w:b/>
          <w:sz w:val="18"/>
          <w:szCs w:val="18"/>
        </w:rPr>
        <w:t>computer</w:t>
      </w:r>
      <w:proofErr w:type="gramEnd"/>
    </w:p>
    <w:p w14:paraId="4E21D425" w14:textId="470FF27A" w:rsidR="00F7590D" w:rsidRDefault="00000000" w:rsidP="00F7590D">
      <w:pPr>
        <w:spacing w:after="200" w:line="259" w:lineRule="auto"/>
        <w:ind w:left="720"/>
        <w:rPr>
          <w:b/>
          <w:sz w:val="26"/>
          <w:szCs w:val="26"/>
        </w:rPr>
      </w:pPr>
      <w:r>
        <w:rPr>
          <w:b/>
          <w:sz w:val="26"/>
          <w:szCs w:val="26"/>
        </w:rPr>
        <w:t xml:space="preserve">Appendix 1. </w:t>
      </w:r>
      <w:r w:rsidR="00F7590D">
        <w:rPr>
          <w:b/>
          <w:sz w:val="26"/>
          <w:szCs w:val="26"/>
        </w:rPr>
        <w:t>Purchases</w:t>
      </w:r>
    </w:p>
    <w:p w14:paraId="2AE784F8" w14:textId="77777777" w:rsidR="00F7590D" w:rsidRDefault="00F7590D" w:rsidP="00F7590D">
      <w:pPr>
        <w:textAlignment w:val="baseline"/>
      </w:pPr>
      <w:r>
        <w:t xml:space="preserve">For tubes and acids, I usually go with VWR or Fisher (depending on who’s cheaper), but in general these trace </w:t>
      </w:r>
      <w:proofErr w:type="gramStart"/>
      <w:r>
        <w:t>metal clean</w:t>
      </w:r>
      <w:proofErr w:type="gramEnd"/>
      <w:r>
        <w:t xml:space="preserve"> centrifuge tubes work and fit the 60x 15 ml rack and the </w:t>
      </w:r>
      <w:proofErr w:type="spellStart"/>
      <w:r>
        <w:t>the</w:t>
      </w:r>
      <w:proofErr w:type="spellEnd"/>
      <w:r>
        <w:t xml:space="preserve"> 10x 50 ml standard rack for the autosampler.</w:t>
      </w:r>
    </w:p>
    <w:p w14:paraId="0EE4F8C3" w14:textId="77777777" w:rsidR="00F7590D" w:rsidRDefault="00F7590D" w:rsidP="00F7590D">
      <w:pPr>
        <w:textAlignment w:val="baseline"/>
      </w:pPr>
    </w:p>
    <w:tbl>
      <w:tblPr>
        <w:tblW w:w="4500" w:type="dxa"/>
        <w:shd w:val="clear" w:color="auto" w:fill="DFDFE1"/>
        <w:tblCellMar>
          <w:left w:w="0" w:type="dxa"/>
          <w:right w:w="0" w:type="dxa"/>
        </w:tblCellMar>
        <w:tblLook w:val="04A0" w:firstRow="1" w:lastRow="0" w:firstColumn="1" w:lastColumn="0" w:noHBand="0" w:noVBand="1"/>
      </w:tblPr>
      <w:tblGrid>
        <w:gridCol w:w="4500"/>
      </w:tblGrid>
      <w:tr w:rsidR="00F7590D" w14:paraId="75FE3752" w14:textId="77777777" w:rsidTr="00F7590D">
        <w:tc>
          <w:tcPr>
            <w:tcW w:w="0" w:type="auto"/>
            <w:shd w:val="clear" w:color="auto" w:fill="DFDFE1"/>
            <w:vAlign w:val="center"/>
            <w:hideMark/>
          </w:tcPr>
          <w:p w14:paraId="0127FC14" w14:textId="76E194A2" w:rsidR="00F7590D" w:rsidRDefault="00F7590D">
            <w:pPr>
              <w:jc w:val="center"/>
            </w:pPr>
            <w:r>
              <w:rPr>
                <w:noProof/>
              </w:rPr>
              <w:lastRenderedPageBreak/>
              <w:drawing>
                <wp:inline distT="0" distB="0" distL="0" distR="0" wp14:anchorId="5DAB1E03" wp14:editId="7DEFE2ED">
                  <wp:extent cx="2857500" cy="2118360"/>
                  <wp:effectExtent l="0" t="0" r="0" b="0"/>
                  <wp:docPr id="1420020002" name="Picture 2" descr="A close-up of a pair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20002" name="Picture 2" descr="A close-up of a pair of thermomet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18360"/>
                          </a:xfrm>
                          <a:prstGeom prst="rect">
                            <a:avLst/>
                          </a:prstGeom>
                          <a:noFill/>
                          <a:ln>
                            <a:noFill/>
                          </a:ln>
                        </pic:spPr>
                      </pic:pic>
                    </a:graphicData>
                  </a:graphic>
                </wp:inline>
              </w:drawing>
            </w:r>
          </w:p>
        </w:tc>
      </w:tr>
      <w:tr w:rsidR="00F7590D" w14:paraId="329C4298" w14:textId="77777777" w:rsidTr="00F7590D">
        <w:tc>
          <w:tcPr>
            <w:tcW w:w="0" w:type="auto"/>
            <w:shd w:val="clear" w:color="auto" w:fill="DFDFE1"/>
            <w:vAlign w:val="center"/>
            <w:hideMark/>
          </w:tcPr>
          <w:tbl>
            <w:tblPr>
              <w:tblW w:w="4500" w:type="dxa"/>
              <w:tblCellSpacing w:w="0" w:type="dxa"/>
              <w:shd w:val="clear" w:color="auto" w:fill="DFDFE1"/>
              <w:tblCellMar>
                <w:left w:w="0" w:type="dxa"/>
                <w:right w:w="0" w:type="dxa"/>
              </w:tblCellMar>
              <w:tblLook w:val="04A0" w:firstRow="1" w:lastRow="0" w:firstColumn="1" w:lastColumn="0" w:noHBand="0" w:noVBand="1"/>
            </w:tblPr>
            <w:tblGrid>
              <w:gridCol w:w="4500"/>
            </w:tblGrid>
            <w:tr w:rsidR="00F7590D" w14:paraId="1EFD6D32" w14:textId="77777777">
              <w:trPr>
                <w:tblCellSpacing w:w="0" w:type="dxa"/>
              </w:trPr>
              <w:tc>
                <w:tcPr>
                  <w:tcW w:w="0" w:type="auto"/>
                  <w:shd w:val="clear" w:color="auto" w:fill="DFDFE1"/>
                  <w:tcMar>
                    <w:top w:w="120" w:type="dxa"/>
                    <w:left w:w="0" w:type="dxa"/>
                    <w:bottom w:w="120" w:type="dxa"/>
                    <w:right w:w="0" w:type="dxa"/>
                  </w:tcMar>
                  <w:vAlign w:val="center"/>
                  <w:hideMark/>
                </w:tcPr>
                <w:p w14:paraId="349D3D80" w14:textId="77777777" w:rsidR="00F7590D" w:rsidRDefault="00F7590D" w:rsidP="00F7590D">
                  <w:pPr>
                    <w:textAlignment w:val="baseline"/>
                    <w:rPr>
                      <w:rFonts w:ascii="inherit" w:hAnsi="inherit"/>
                      <w:sz w:val="18"/>
                      <w:szCs w:val="18"/>
                    </w:rPr>
                  </w:pPr>
                  <w:hyperlink r:id="rId18" w:tgtFrame="_blank" w:history="1">
                    <w:r>
                      <w:rPr>
                        <w:rStyle w:val="Hyperlink"/>
                        <w:rFonts w:ascii="inherit" w:hAnsi="inherit"/>
                        <w:color w:val="000000"/>
                        <w:sz w:val="18"/>
                        <w:szCs w:val="18"/>
                        <w:bdr w:val="none" w:sz="0" w:space="0" w:color="auto" w:frame="1"/>
                      </w:rPr>
                      <w:t>VWR® Sterile Metal-Free Centrifuge Tubes, PP</w:t>
                    </w:r>
                  </w:hyperlink>
                </w:p>
                <w:p w14:paraId="0F4D2E7F" w14:textId="77777777" w:rsidR="00F7590D" w:rsidRDefault="00F7590D" w:rsidP="00F7590D">
                  <w:pPr>
                    <w:textAlignment w:val="baseline"/>
                    <w:rPr>
                      <w:rFonts w:ascii="inherit" w:hAnsi="inherit"/>
                      <w:sz w:val="17"/>
                      <w:szCs w:val="17"/>
                    </w:rPr>
                  </w:pPr>
                  <w:hyperlink r:id="rId19" w:tgtFrame="_blank" w:history="1">
                    <w:r>
                      <w:rPr>
                        <w:rStyle w:val="Hyperlink"/>
                        <w:rFonts w:ascii="inherit" w:hAnsi="inherit"/>
                        <w:sz w:val="17"/>
                        <w:szCs w:val="17"/>
                        <w:bdr w:val="none" w:sz="0" w:space="0" w:color="auto" w:frame="1"/>
                      </w:rPr>
                      <w:t>us.vwr.com</w:t>
                    </w:r>
                  </w:hyperlink>
                </w:p>
              </w:tc>
            </w:tr>
          </w:tbl>
          <w:p w14:paraId="7B52CD55" w14:textId="77777777" w:rsidR="00F7590D" w:rsidRDefault="00F7590D">
            <w:pPr>
              <w:rPr>
                <w:rFonts w:ascii="Times New Roman" w:hAnsi="Times New Roman"/>
                <w:sz w:val="24"/>
                <w:szCs w:val="24"/>
              </w:rPr>
            </w:pPr>
          </w:p>
        </w:tc>
      </w:tr>
    </w:tbl>
    <w:p w14:paraId="2FB39FDB" w14:textId="77777777" w:rsidR="00F7590D" w:rsidRDefault="00F7590D" w:rsidP="00F7590D">
      <w:pPr>
        <w:textAlignment w:val="baseline"/>
        <w:rPr>
          <w:sz w:val="24"/>
          <w:szCs w:val="24"/>
        </w:rPr>
      </w:pPr>
    </w:p>
    <w:p w14:paraId="190857D9" w14:textId="32523952" w:rsidR="00F7590D" w:rsidRDefault="00F7590D" w:rsidP="00F7590D">
      <w:pPr>
        <w:textAlignment w:val="baseline"/>
      </w:pPr>
      <w:r>
        <w:t xml:space="preserve">For nitric acid, I usually go with Fisher’s 2.5 L of </w:t>
      </w:r>
      <w:proofErr w:type="spellStart"/>
      <w:r>
        <w:t>TraceMetal</w:t>
      </w:r>
      <w:proofErr w:type="spellEnd"/>
      <w:r>
        <w:t xml:space="preserve"> Grade:</w:t>
      </w:r>
    </w:p>
    <w:p w14:paraId="701ED7A7" w14:textId="77777777" w:rsidR="00F7590D" w:rsidRDefault="00F7590D" w:rsidP="00F7590D">
      <w:pPr>
        <w:textAlignment w:val="baseline"/>
      </w:pPr>
    </w:p>
    <w:tbl>
      <w:tblPr>
        <w:tblW w:w="4500" w:type="dxa"/>
        <w:shd w:val="clear" w:color="auto" w:fill="DFDFE1"/>
        <w:tblCellMar>
          <w:left w:w="0" w:type="dxa"/>
          <w:right w:w="0" w:type="dxa"/>
        </w:tblCellMar>
        <w:tblLook w:val="04A0" w:firstRow="1" w:lastRow="0" w:firstColumn="1" w:lastColumn="0" w:noHBand="0" w:noVBand="1"/>
      </w:tblPr>
      <w:tblGrid>
        <w:gridCol w:w="4500"/>
      </w:tblGrid>
      <w:tr w:rsidR="00F7590D" w14:paraId="494463EB" w14:textId="77777777" w:rsidTr="00F7590D">
        <w:tc>
          <w:tcPr>
            <w:tcW w:w="0" w:type="auto"/>
            <w:shd w:val="clear" w:color="auto" w:fill="DFDFE1"/>
            <w:vAlign w:val="center"/>
            <w:hideMark/>
          </w:tcPr>
          <w:tbl>
            <w:tblPr>
              <w:tblW w:w="4500" w:type="dxa"/>
              <w:tblCellSpacing w:w="0" w:type="dxa"/>
              <w:shd w:val="clear" w:color="auto" w:fill="DFDFE1"/>
              <w:tblCellMar>
                <w:left w:w="0" w:type="dxa"/>
                <w:right w:w="0" w:type="dxa"/>
              </w:tblCellMar>
              <w:tblLook w:val="04A0" w:firstRow="1" w:lastRow="0" w:firstColumn="1" w:lastColumn="0" w:noHBand="0" w:noVBand="1"/>
            </w:tblPr>
            <w:tblGrid>
              <w:gridCol w:w="3960"/>
              <w:gridCol w:w="540"/>
            </w:tblGrid>
            <w:tr w:rsidR="00F7590D" w14:paraId="0A546699" w14:textId="77777777">
              <w:trPr>
                <w:tblCellSpacing w:w="0" w:type="dxa"/>
              </w:trPr>
              <w:tc>
                <w:tcPr>
                  <w:tcW w:w="0" w:type="auto"/>
                  <w:shd w:val="clear" w:color="auto" w:fill="DFDFE1"/>
                  <w:tcMar>
                    <w:top w:w="120" w:type="dxa"/>
                    <w:left w:w="0" w:type="dxa"/>
                    <w:bottom w:w="120" w:type="dxa"/>
                    <w:right w:w="0" w:type="dxa"/>
                  </w:tcMar>
                  <w:vAlign w:val="center"/>
                  <w:hideMark/>
                </w:tcPr>
                <w:p w14:paraId="6A4407DE" w14:textId="77777777" w:rsidR="00F7590D" w:rsidRDefault="00F7590D" w:rsidP="00F7590D">
                  <w:pPr>
                    <w:textAlignment w:val="baseline"/>
                    <w:rPr>
                      <w:rFonts w:ascii="inherit" w:hAnsi="inherit"/>
                      <w:sz w:val="18"/>
                      <w:szCs w:val="18"/>
                    </w:rPr>
                  </w:pPr>
                  <w:hyperlink r:id="rId20" w:tgtFrame="_blank" w:history="1">
                    <w:r>
                      <w:rPr>
                        <w:rStyle w:val="Hyperlink"/>
                        <w:rFonts w:ascii="inherit" w:hAnsi="inherit"/>
                        <w:color w:val="000000"/>
                        <w:sz w:val="18"/>
                        <w:szCs w:val="18"/>
                        <w:bdr w:val="none" w:sz="0" w:space="0" w:color="auto" w:frame="1"/>
                      </w:rPr>
                      <w:t>Nitric Acid (</w:t>
                    </w:r>
                    <w:proofErr w:type="spellStart"/>
                    <w:r>
                      <w:rPr>
                        <w:rStyle w:val="Hyperlink"/>
                        <w:rFonts w:ascii="inherit" w:hAnsi="inherit"/>
                        <w:color w:val="000000"/>
                        <w:sz w:val="18"/>
                        <w:szCs w:val="18"/>
                        <w:bdr w:val="none" w:sz="0" w:space="0" w:color="auto" w:frame="1"/>
                      </w:rPr>
                      <w:t>TraceMetal</w:t>
                    </w:r>
                    <w:proofErr w:type="spellEnd"/>
                    <w:r>
                      <w:rPr>
                        <w:rStyle w:val="Hyperlink"/>
                        <w:rFonts w:ascii="inherit" w:hAnsi="inherit"/>
                        <w:color w:val="000000"/>
                        <w:sz w:val="18"/>
                        <w:szCs w:val="18"/>
                        <w:bdr w:val="none" w:sz="0" w:space="0" w:color="auto" w:frame="1"/>
                      </w:rPr>
                      <w:t xml:space="preserve"> Grade), Fisher Chemical, Quantity: 500 mL | Fisher Scientific</w:t>
                    </w:r>
                  </w:hyperlink>
                </w:p>
                <w:p w14:paraId="4EEEC68F" w14:textId="77777777" w:rsidR="00F7590D" w:rsidRDefault="00F7590D" w:rsidP="00F7590D">
                  <w:pPr>
                    <w:textAlignment w:val="baseline"/>
                    <w:rPr>
                      <w:rFonts w:ascii="inherit" w:hAnsi="inherit"/>
                      <w:sz w:val="17"/>
                      <w:szCs w:val="17"/>
                    </w:rPr>
                  </w:pPr>
                  <w:hyperlink r:id="rId21" w:tgtFrame="_blank" w:history="1">
                    <w:r>
                      <w:rPr>
                        <w:rStyle w:val="Hyperlink"/>
                        <w:rFonts w:ascii="inherit" w:hAnsi="inherit"/>
                        <w:sz w:val="17"/>
                        <w:szCs w:val="17"/>
                        <w:bdr w:val="none" w:sz="0" w:space="0" w:color="auto" w:frame="1"/>
                      </w:rPr>
                      <w:t>fishersci.com</w:t>
                    </w:r>
                  </w:hyperlink>
                </w:p>
              </w:tc>
              <w:tc>
                <w:tcPr>
                  <w:tcW w:w="540" w:type="dxa"/>
                  <w:shd w:val="clear" w:color="auto" w:fill="DFDFE1"/>
                  <w:tcMar>
                    <w:top w:w="90" w:type="dxa"/>
                    <w:left w:w="0" w:type="dxa"/>
                    <w:bottom w:w="90" w:type="dxa"/>
                    <w:right w:w="180" w:type="dxa"/>
                  </w:tcMar>
                  <w:vAlign w:val="center"/>
                  <w:hideMark/>
                </w:tcPr>
                <w:p w14:paraId="39443FE7" w14:textId="587B672C" w:rsidR="00F7590D" w:rsidRDefault="00F7590D">
                  <w:pPr>
                    <w:rPr>
                      <w:rFonts w:ascii="Times New Roman" w:hAnsi="Times New Roman"/>
                      <w:sz w:val="24"/>
                      <w:szCs w:val="24"/>
                    </w:rPr>
                  </w:pPr>
                  <w:r>
                    <w:rPr>
                      <w:rStyle w:val="Hyperlink"/>
                      <w:noProof/>
                      <w:bdr w:val="none" w:sz="0" w:space="0" w:color="auto" w:frame="1"/>
                    </w:rPr>
                    <w:drawing>
                      <wp:inline distT="0" distB="0" distL="0" distR="0" wp14:anchorId="08AB339B" wp14:editId="47A9CF1D">
                        <wp:extent cx="152400" cy="152400"/>
                        <wp:effectExtent l="0" t="0" r="0" b="0"/>
                        <wp:docPr id="148698314" name="Picture 1" descr="favicon.ico">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vicon.ic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14:paraId="62F0C1B7" w14:textId="77777777" w:rsidR="00F7590D" w:rsidRDefault="00F7590D"/>
        </w:tc>
      </w:tr>
    </w:tbl>
    <w:p w14:paraId="59CB3F6A" w14:textId="77777777" w:rsidR="00E70178" w:rsidRDefault="00E70178">
      <w:pPr>
        <w:spacing w:after="200" w:line="259" w:lineRule="auto"/>
        <w:ind w:left="720"/>
        <w:rPr>
          <w:b/>
          <w:sz w:val="26"/>
          <w:szCs w:val="26"/>
        </w:rPr>
      </w:pPr>
    </w:p>
    <w:p w14:paraId="76E004FF" w14:textId="4577D019" w:rsidR="00E06459" w:rsidRDefault="00E06459">
      <w:pPr>
        <w:spacing w:after="200" w:line="259" w:lineRule="auto"/>
        <w:ind w:left="720"/>
        <w:rPr>
          <w:b/>
          <w:sz w:val="26"/>
          <w:szCs w:val="26"/>
        </w:rPr>
      </w:pPr>
      <w:r>
        <w:rPr>
          <w:b/>
          <w:sz w:val="26"/>
          <w:szCs w:val="26"/>
        </w:rPr>
        <w:t>Cleaning the nebulizer</w:t>
      </w:r>
    </w:p>
    <w:p w14:paraId="1558A3B2" w14:textId="77777777" w:rsidR="00E06459" w:rsidRDefault="00E06459">
      <w:pPr>
        <w:spacing w:after="200" w:line="259" w:lineRule="auto"/>
        <w:ind w:left="720"/>
        <w:rPr>
          <w:b/>
          <w:sz w:val="26"/>
          <w:szCs w:val="26"/>
        </w:rPr>
      </w:pPr>
    </w:p>
    <w:p w14:paraId="48CE0382" w14:textId="77777777" w:rsidR="00E06459" w:rsidRPr="00E06459" w:rsidRDefault="00E06459" w:rsidP="00E06459">
      <w:pPr>
        <w:spacing w:line="240" w:lineRule="auto"/>
        <w:textAlignment w:val="baseline"/>
        <w:rPr>
          <w:rFonts w:ascii="Times New Roman" w:eastAsia="Times New Roman" w:hAnsi="Times New Roman" w:cs="Times New Roman"/>
          <w:sz w:val="24"/>
          <w:szCs w:val="24"/>
          <w:lang w:val="en-US"/>
        </w:rPr>
      </w:pPr>
      <w:r w:rsidRPr="00E06459">
        <w:rPr>
          <w:rFonts w:ascii="Times New Roman" w:eastAsia="Times New Roman" w:hAnsi="Times New Roman" w:cs="Times New Roman"/>
          <w:sz w:val="24"/>
          <w:szCs w:val="24"/>
          <w:lang w:val="en-US"/>
        </w:rPr>
        <w:t>For the nebulizer, they say to soak it in 10% nitric for 15 minutes and then rinse with DI. Here’s the full set of cone </w:t>
      </w:r>
      <w:r w:rsidRPr="00E06459">
        <w:rPr>
          <w:rFonts w:ascii="Times New Roman" w:eastAsia="Times New Roman" w:hAnsi="Times New Roman" w:cs="Times New Roman"/>
          <w:sz w:val="24"/>
          <w:szCs w:val="24"/>
          <w:bdr w:val="none" w:sz="0" w:space="0" w:color="auto" w:frame="1"/>
          <w:lang w:val="en-US"/>
        </w:rPr>
        <w:t>cleaning</w:t>
      </w:r>
      <w:r w:rsidRPr="00E06459">
        <w:rPr>
          <w:rFonts w:ascii="Times New Roman" w:eastAsia="Times New Roman" w:hAnsi="Times New Roman" w:cs="Times New Roman"/>
          <w:sz w:val="24"/>
          <w:szCs w:val="24"/>
          <w:lang w:val="en-US"/>
        </w:rPr>
        <w:t> and nebulizer </w:t>
      </w:r>
      <w:r w:rsidRPr="00E06459">
        <w:rPr>
          <w:rFonts w:ascii="Times New Roman" w:eastAsia="Times New Roman" w:hAnsi="Times New Roman" w:cs="Times New Roman"/>
          <w:sz w:val="24"/>
          <w:szCs w:val="24"/>
          <w:bdr w:val="none" w:sz="0" w:space="0" w:color="auto" w:frame="1"/>
          <w:lang w:val="en-US"/>
        </w:rPr>
        <w:t>cleaning</w:t>
      </w:r>
      <w:r w:rsidRPr="00E06459">
        <w:rPr>
          <w:rFonts w:ascii="Times New Roman" w:eastAsia="Times New Roman" w:hAnsi="Times New Roman" w:cs="Times New Roman"/>
          <w:sz w:val="24"/>
          <w:szCs w:val="24"/>
          <w:lang w:val="en-US"/>
        </w:rPr>
        <w:t xml:space="preserve"> instructions in case it’s handy (and if the </w:t>
      </w:r>
      <w:proofErr w:type="spellStart"/>
      <w:r w:rsidRPr="00E06459">
        <w:rPr>
          <w:rFonts w:ascii="Times New Roman" w:eastAsia="Times New Roman" w:hAnsi="Times New Roman" w:cs="Times New Roman"/>
          <w:sz w:val="24"/>
          <w:szCs w:val="24"/>
          <w:lang w:val="en-US"/>
        </w:rPr>
        <w:t>iCAP</w:t>
      </w:r>
      <w:proofErr w:type="spellEnd"/>
      <w:r w:rsidRPr="00E06459">
        <w:rPr>
          <w:rFonts w:ascii="Times New Roman" w:eastAsia="Times New Roman" w:hAnsi="Times New Roman" w:cs="Times New Roman"/>
          <w:sz w:val="24"/>
          <w:szCs w:val="24"/>
          <w:lang w:val="en-US"/>
        </w:rPr>
        <w:t xml:space="preserve"> ever throws a detector error again):</w:t>
      </w:r>
    </w:p>
    <w:p w14:paraId="226973C9" w14:textId="77777777" w:rsidR="00E06459" w:rsidRPr="00E06459" w:rsidRDefault="00E06459" w:rsidP="00E06459">
      <w:pPr>
        <w:spacing w:line="240" w:lineRule="auto"/>
        <w:textAlignment w:val="baseline"/>
        <w:rPr>
          <w:rFonts w:ascii="Times New Roman" w:eastAsia="Times New Roman" w:hAnsi="Times New Roman" w:cs="Times New Roman"/>
          <w:sz w:val="24"/>
          <w:szCs w:val="24"/>
          <w:lang w:val="en-US"/>
        </w:rPr>
      </w:pPr>
    </w:p>
    <w:p w14:paraId="428BAC87"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Remove the cones and sonicate in DI water only for 15, then let to dry or blow off with nitrogen….DO NOT USE CAN AIR OR ACID ON THE CONES</w:t>
      </w:r>
    </w:p>
    <w:p w14:paraId="03668DF7"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 xml:space="preserve">Remove the neb and soak it in 10% nitric for 15 minutes, then rinse with </w:t>
      </w:r>
      <w:proofErr w:type="gramStart"/>
      <w:r w:rsidRPr="00E06459">
        <w:rPr>
          <w:rFonts w:eastAsia="Times New Roman"/>
          <w:color w:val="000000"/>
          <w:bdr w:val="none" w:sz="0" w:space="0" w:color="auto" w:frame="1"/>
          <w:lang w:val="en-US"/>
        </w:rPr>
        <w:t>DI</w:t>
      </w:r>
      <w:proofErr w:type="gramEnd"/>
    </w:p>
    <w:p w14:paraId="1060E4D2"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Put cones and neb back in</w:t>
      </w:r>
    </w:p>
    <w:p w14:paraId="70370695" w14:textId="77777777" w:rsidR="00E06459" w:rsidRPr="00E06459" w:rsidRDefault="00E06459" w:rsidP="00E06459">
      <w:pPr>
        <w:shd w:val="clear" w:color="auto" w:fill="FFFFFF"/>
        <w:spacing w:line="240" w:lineRule="auto"/>
        <w:ind w:left="144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 </w:t>
      </w:r>
    </w:p>
    <w:p w14:paraId="0A04681C"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 xml:space="preserve">Ensuring the cones are tight, and the insert is in place on the skimmer </w:t>
      </w:r>
      <w:proofErr w:type="gramStart"/>
      <w:r w:rsidRPr="00E06459">
        <w:rPr>
          <w:rFonts w:eastAsia="Times New Roman"/>
          <w:color w:val="000000"/>
          <w:bdr w:val="none" w:sz="0" w:space="0" w:color="auto" w:frame="1"/>
          <w:lang w:val="en-US"/>
        </w:rPr>
        <w:t>cone</w:t>
      </w:r>
      <w:proofErr w:type="gramEnd"/>
    </w:p>
    <w:p w14:paraId="661AB5E3"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bookmarkStart w:id="1" w:name="x__Hlk140760995"/>
      <w:r w:rsidRPr="00E06459">
        <w:rPr>
          <w:rFonts w:eastAsia="Times New Roman"/>
          <w:color w:val="000000"/>
          <w:bdr w:val="none" w:sz="0" w:space="0" w:color="auto" w:frame="1"/>
          <w:lang w:val="en-US"/>
        </w:rPr>
        <w:t>New pump tubing</w:t>
      </w:r>
      <w:bookmarkEnd w:id="1"/>
    </w:p>
    <w:p w14:paraId="29C0BCC1"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 xml:space="preserve">Ensure your </w:t>
      </w:r>
      <w:proofErr w:type="spellStart"/>
      <w:r w:rsidRPr="00E06459">
        <w:rPr>
          <w:rFonts w:eastAsia="Times New Roman"/>
          <w:color w:val="000000"/>
          <w:bdr w:val="none" w:sz="0" w:space="0" w:color="auto" w:frame="1"/>
          <w:lang w:val="en-US"/>
        </w:rPr>
        <w:t>icap</w:t>
      </w:r>
      <w:proofErr w:type="spellEnd"/>
      <w:r w:rsidRPr="00E06459">
        <w:rPr>
          <w:rFonts w:eastAsia="Times New Roman"/>
          <w:color w:val="000000"/>
          <w:bdr w:val="none" w:sz="0" w:space="0" w:color="auto" w:frame="1"/>
          <w:lang w:val="en-US"/>
        </w:rPr>
        <w:t xml:space="preserve"> is in STD mode and use     </w:t>
      </w:r>
      <w:r w:rsidRPr="00E06459">
        <w:rPr>
          <w:rFonts w:eastAsia="Times New Roman"/>
          <w:color w:val="000000"/>
          <w:bdr w:val="none" w:sz="0" w:space="0" w:color="auto" w:frame="1"/>
          <w:shd w:val="clear" w:color="auto" w:fill="FFFF00"/>
          <w:lang w:val="en-US"/>
        </w:rPr>
        <w:t>TUNE B</w:t>
      </w:r>
      <w:r w:rsidRPr="00E06459">
        <w:rPr>
          <w:rFonts w:eastAsia="Times New Roman"/>
          <w:color w:val="000000"/>
          <w:bdr w:val="none" w:sz="0" w:space="0" w:color="auto" w:frame="1"/>
          <w:lang w:val="en-US"/>
        </w:rPr>
        <w:t> </w:t>
      </w:r>
      <w:r w:rsidRPr="00E06459">
        <w:rPr>
          <w:rFonts w:eastAsia="Times New Roman"/>
          <w:color w:val="000000"/>
          <w:bdr w:val="none" w:sz="0" w:space="0" w:color="auto" w:frame="1"/>
          <w:shd w:val="clear" w:color="auto" w:fill="FFFF00"/>
          <w:lang w:val="en-US"/>
        </w:rPr>
        <w:t>or 4A</w:t>
      </w:r>
      <w:r w:rsidRPr="00E06459">
        <w:rPr>
          <w:rFonts w:eastAsia="Times New Roman"/>
          <w:color w:val="000000"/>
          <w:bdr w:val="none" w:sz="0" w:space="0" w:color="auto" w:frame="1"/>
          <w:lang w:val="en-US"/>
        </w:rPr>
        <w:t>.</w:t>
      </w:r>
    </w:p>
    <w:p w14:paraId="6215F22E"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 </w:t>
      </w:r>
    </w:p>
    <w:p w14:paraId="7EF8C625"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FF"/>
          <w:lang w:val="en-US"/>
        </w:rPr>
      </w:pPr>
      <w:r w:rsidRPr="00E06459">
        <w:rPr>
          <w:rFonts w:eastAsia="Times New Roman"/>
          <w:bdr w:val="none" w:sz="0" w:space="0" w:color="auto" w:frame="1"/>
          <w:lang w:val="en-US"/>
        </w:rPr>
        <w:t xml:space="preserve">Run </w:t>
      </w:r>
      <w:proofErr w:type="gramStart"/>
      <w:r w:rsidRPr="00E06459">
        <w:rPr>
          <w:rFonts w:eastAsia="Times New Roman"/>
          <w:bdr w:val="none" w:sz="0" w:space="0" w:color="auto" w:frame="1"/>
          <w:lang w:val="en-US"/>
        </w:rPr>
        <w:t>a</w:t>
      </w:r>
      <w:proofErr w:type="gramEnd"/>
      <w:r w:rsidRPr="00E06459">
        <w:rPr>
          <w:rFonts w:eastAsia="Times New Roman"/>
          <w:bdr w:val="none" w:sz="0" w:space="0" w:color="auto" w:frame="1"/>
          <w:lang w:val="en-US"/>
        </w:rPr>
        <w:t> </w:t>
      </w:r>
      <w:proofErr w:type="spellStart"/>
      <w:r w:rsidRPr="00E06459">
        <w:rPr>
          <w:rFonts w:ascii="Arial Black" w:eastAsia="Times New Roman" w:hAnsi="Arial Black" w:cs="Calibri"/>
          <w:color w:val="0000FF"/>
          <w:u w:val="single"/>
          <w:bdr w:val="none" w:sz="0" w:space="0" w:color="auto" w:frame="1"/>
          <w:lang w:val="en-US"/>
        </w:rPr>
        <w:t>iCaliTuneSTDS</w:t>
      </w:r>
      <w:proofErr w:type="spellEnd"/>
      <w:r w:rsidRPr="00E06459">
        <w:rPr>
          <w:rFonts w:ascii="Arial Black" w:eastAsia="Times New Roman" w:hAnsi="Arial Black" w:cs="Calibri"/>
          <w:color w:val="0000FF"/>
          <w:bdr w:val="none" w:sz="0" w:space="0" w:color="auto" w:frame="1"/>
          <w:lang w:val="en-US"/>
        </w:rPr>
        <w:t> auto tune </w:t>
      </w:r>
      <w:r w:rsidRPr="00E06459">
        <w:rPr>
          <w:rFonts w:ascii="Arial Black" w:eastAsia="Times New Roman" w:hAnsi="Arial Black" w:cs="Calibri"/>
          <w:color w:val="0000FF"/>
          <w:u w:val="single"/>
          <w:bdr w:val="none" w:sz="0" w:space="0" w:color="auto" w:frame="1"/>
          <w:lang w:val="en-US"/>
        </w:rPr>
        <w:t>…….  </w:t>
      </w:r>
      <w:r w:rsidRPr="00E06459">
        <w:rPr>
          <w:rFonts w:eastAsia="Times New Roman"/>
          <w:bdr w:val="none" w:sz="0" w:space="0" w:color="auto" w:frame="1"/>
          <w:shd w:val="clear" w:color="auto" w:fill="FFFF00"/>
          <w:lang w:val="en-US"/>
        </w:rPr>
        <w:t>TUNE B</w:t>
      </w:r>
      <w:r w:rsidRPr="00E06459">
        <w:rPr>
          <w:rFonts w:eastAsia="Times New Roman"/>
          <w:bdr w:val="none" w:sz="0" w:space="0" w:color="auto" w:frame="1"/>
          <w:lang w:val="en-US"/>
        </w:rPr>
        <w:t> </w:t>
      </w:r>
      <w:r w:rsidRPr="00E06459">
        <w:rPr>
          <w:rFonts w:eastAsia="Times New Roman"/>
          <w:bdr w:val="none" w:sz="0" w:space="0" w:color="auto" w:frame="1"/>
          <w:shd w:val="clear" w:color="auto" w:fill="FFFF00"/>
          <w:lang w:val="en-US"/>
        </w:rPr>
        <w:t>or 4A</w:t>
      </w:r>
      <w:r w:rsidRPr="00E06459">
        <w:rPr>
          <w:rFonts w:eastAsia="Times New Roman"/>
          <w:bdr w:val="none" w:sz="0" w:space="0" w:color="auto" w:frame="1"/>
          <w:lang w:val="en-US"/>
        </w:rPr>
        <w:t>.</w:t>
      </w:r>
    </w:p>
    <w:p w14:paraId="28D667D0"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FF"/>
          <w:lang w:val="en-US"/>
        </w:rPr>
      </w:pPr>
      <w:r w:rsidRPr="00E06459">
        <w:rPr>
          <w:rFonts w:ascii="Arial Black" w:eastAsia="Times New Roman" w:hAnsi="Arial Black" w:cs="Calibri"/>
          <w:color w:val="0000FF"/>
          <w:bdr w:val="none" w:sz="0" w:space="0" w:color="auto" w:frame="1"/>
          <w:lang w:val="en-US"/>
        </w:rPr>
        <w:t> </w:t>
      </w:r>
    </w:p>
    <w:p w14:paraId="44595F78"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FF"/>
          <w:lang w:val="en-US"/>
        </w:rPr>
      </w:pPr>
      <w:r w:rsidRPr="00E06459">
        <w:rPr>
          <w:rFonts w:eastAsia="Times New Roman"/>
          <w:b/>
          <w:bCs/>
          <w:bdr w:val="none" w:sz="0" w:space="0" w:color="auto" w:frame="1"/>
          <w:lang w:val="en-US"/>
        </w:rPr>
        <w:t xml:space="preserve">Then run a HV SETUP AND CROSS CAL (detector </w:t>
      </w:r>
      <w:proofErr w:type="gramStart"/>
      <w:r w:rsidRPr="00E06459">
        <w:rPr>
          <w:rFonts w:eastAsia="Times New Roman"/>
          <w:b/>
          <w:bCs/>
          <w:bdr w:val="none" w:sz="0" w:space="0" w:color="auto" w:frame="1"/>
          <w:lang w:val="en-US"/>
        </w:rPr>
        <w:t>wizard</w:t>
      </w:r>
      <w:r w:rsidRPr="00E06459">
        <w:rPr>
          <w:rFonts w:eastAsia="Times New Roman"/>
          <w:bdr w:val="none" w:sz="0" w:space="0" w:color="auto" w:frame="1"/>
          <w:lang w:val="en-US"/>
        </w:rPr>
        <w:t>)   </w:t>
      </w:r>
      <w:proofErr w:type="gramEnd"/>
      <w:r w:rsidRPr="00E06459">
        <w:rPr>
          <w:rFonts w:eastAsia="Times New Roman"/>
          <w:bdr w:val="none" w:sz="0" w:space="0" w:color="auto" w:frame="1"/>
          <w:lang w:val="en-US"/>
        </w:rPr>
        <w:t>     </w:t>
      </w:r>
      <w:r w:rsidRPr="00E06459">
        <w:rPr>
          <w:rFonts w:eastAsia="Times New Roman"/>
          <w:bdr w:val="none" w:sz="0" w:space="0" w:color="auto" w:frame="1"/>
          <w:shd w:val="clear" w:color="auto" w:fill="FFFF00"/>
          <w:lang w:val="en-US"/>
        </w:rPr>
        <w:t>SETUP SOLUTION</w:t>
      </w:r>
      <w:r w:rsidRPr="00E06459">
        <w:rPr>
          <w:rFonts w:eastAsia="Times New Roman"/>
          <w:bdr w:val="none" w:sz="0" w:space="0" w:color="auto" w:frame="1"/>
          <w:lang w:val="en-US"/>
        </w:rPr>
        <w:t> </w:t>
      </w:r>
      <w:r w:rsidRPr="00E06459">
        <w:rPr>
          <w:rFonts w:eastAsia="Times New Roman"/>
          <w:bdr w:val="none" w:sz="0" w:space="0" w:color="auto" w:frame="1"/>
          <w:shd w:val="clear" w:color="auto" w:fill="FFFF00"/>
          <w:lang w:val="en-US"/>
        </w:rPr>
        <w:t>or 5A</w:t>
      </w:r>
    </w:p>
    <w:p w14:paraId="33B04E52" w14:textId="77777777" w:rsidR="00E06459" w:rsidRPr="00E06459" w:rsidRDefault="00E06459" w:rsidP="00E06459">
      <w:p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shd w:val="clear" w:color="auto" w:fill="FFFF00"/>
          <w:lang w:val="en-US"/>
        </w:rPr>
        <w:lastRenderedPageBreak/>
        <w:t> </w:t>
      </w:r>
    </w:p>
    <w:p w14:paraId="0DB95D75"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FF"/>
          <w:lang w:val="en-US"/>
        </w:rPr>
      </w:pPr>
      <w:r w:rsidRPr="00E06459">
        <w:rPr>
          <w:rFonts w:ascii="Arial Black" w:eastAsia="Times New Roman" w:hAnsi="Arial Black" w:cs="Calibri"/>
          <w:color w:val="0000FF"/>
          <w:bdr w:val="none" w:sz="0" w:space="0" w:color="auto" w:frame="1"/>
          <w:lang w:val="en-US"/>
        </w:rPr>
        <w:t>Then follow up with the i</w:t>
      </w:r>
      <w:r w:rsidRPr="00E06459">
        <w:rPr>
          <w:rFonts w:ascii="Arial Black" w:eastAsia="Times New Roman" w:hAnsi="Arial Black" w:cs="Calibri"/>
          <w:color w:val="0000FF"/>
          <w:u w:val="single"/>
          <w:bdr w:val="none" w:sz="0" w:space="0" w:color="auto" w:frame="1"/>
          <w:lang w:val="en-US"/>
        </w:rPr>
        <w:t>CaliTuneSTD-100</w:t>
      </w:r>
      <w:proofErr w:type="gramStart"/>
      <w:r w:rsidRPr="00E06459">
        <w:rPr>
          <w:rFonts w:ascii="Arial Black" w:eastAsia="Times New Roman" w:hAnsi="Arial Black" w:cs="Calibri"/>
          <w:color w:val="0000FF"/>
          <w:u w:val="single"/>
          <w:bdr w:val="none" w:sz="0" w:space="0" w:color="auto" w:frame="1"/>
          <w:lang w:val="en-US"/>
        </w:rPr>
        <w:t>v…….</w:t>
      </w:r>
      <w:proofErr w:type="gramEnd"/>
      <w:r w:rsidRPr="00E06459">
        <w:rPr>
          <w:rFonts w:ascii="Arial Black" w:eastAsia="Times New Roman" w:hAnsi="Arial Black" w:cs="Calibri"/>
          <w:color w:val="0000FF"/>
          <w:u w:val="single"/>
          <w:bdr w:val="none" w:sz="0" w:space="0" w:color="auto" w:frame="1"/>
          <w:lang w:val="en-US"/>
        </w:rPr>
        <w:t>  </w:t>
      </w:r>
      <w:r w:rsidRPr="00E06459">
        <w:rPr>
          <w:rFonts w:eastAsia="Times New Roman"/>
          <w:bdr w:val="none" w:sz="0" w:space="0" w:color="auto" w:frame="1"/>
          <w:shd w:val="clear" w:color="auto" w:fill="FFFF00"/>
          <w:lang w:val="en-US"/>
        </w:rPr>
        <w:t>TUNE B</w:t>
      </w:r>
      <w:r w:rsidRPr="00E06459">
        <w:rPr>
          <w:rFonts w:eastAsia="Times New Roman"/>
          <w:bdr w:val="none" w:sz="0" w:space="0" w:color="auto" w:frame="1"/>
          <w:lang w:val="en-US"/>
        </w:rPr>
        <w:t> </w:t>
      </w:r>
      <w:r w:rsidRPr="00E06459">
        <w:rPr>
          <w:rFonts w:eastAsia="Times New Roman"/>
          <w:bdr w:val="none" w:sz="0" w:space="0" w:color="auto" w:frame="1"/>
          <w:shd w:val="clear" w:color="auto" w:fill="FFFF00"/>
          <w:lang w:val="en-US"/>
        </w:rPr>
        <w:t>or 4A</w:t>
      </w:r>
      <w:r w:rsidRPr="00E06459">
        <w:rPr>
          <w:rFonts w:eastAsia="Times New Roman"/>
          <w:bdr w:val="none" w:sz="0" w:space="0" w:color="auto" w:frame="1"/>
          <w:lang w:val="en-US"/>
        </w:rPr>
        <w:t>.</w:t>
      </w:r>
    </w:p>
    <w:p w14:paraId="1B4317CA"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 </w:t>
      </w:r>
    </w:p>
    <w:p w14:paraId="77F46264" w14:textId="77777777" w:rsidR="00E06459" w:rsidRPr="00E06459" w:rsidRDefault="00E06459" w:rsidP="00E06459">
      <w:pPr>
        <w:numPr>
          <w:ilvl w:val="1"/>
          <w:numId w:val="2"/>
        </w:numPr>
        <w:shd w:val="clear" w:color="auto" w:fill="FFFFFF"/>
        <w:spacing w:line="240" w:lineRule="auto"/>
        <w:ind w:left="2160"/>
        <w:textAlignment w:val="baseline"/>
        <w:rPr>
          <w:rFonts w:ascii="Calibri" w:eastAsia="Times New Roman" w:hAnsi="Calibri" w:cs="Calibri"/>
          <w:color w:val="000000"/>
          <w:lang w:val="en-US"/>
        </w:rPr>
      </w:pPr>
      <w:r w:rsidRPr="00E06459">
        <w:rPr>
          <w:rFonts w:eastAsia="Times New Roman"/>
          <w:color w:val="000000"/>
          <w:bdr w:val="none" w:sz="0" w:space="0" w:color="auto" w:frame="1"/>
          <w:lang w:val="en-US"/>
        </w:rPr>
        <w:t>Run a performance report…</w:t>
      </w:r>
      <w:r w:rsidRPr="00E06459">
        <w:rPr>
          <w:rFonts w:eastAsia="Times New Roman"/>
          <w:color w:val="000000"/>
          <w:bdr w:val="none" w:sz="0" w:space="0" w:color="auto" w:frame="1"/>
          <w:shd w:val="clear" w:color="auto" w:fill="FFFF00"/>
          <w:lang w:val="en-US"/>
        </w:rPr>
        <w:t> TUNE B</w:t>
      </w:r>
      <w:r w:rsidRPr="00E06459">
        <w:rPr>
          <w:rFonts w:eastAsia="Times New Roman"/>
          <w:color w:val="000000"/>
          <w:bdr w:val="none" w:sz="0" w:space="0" w:color="auto" w:frame="1"/>
          <w:lang w:val="en-US"/>
        </w:rPr>
        <w:t> </w:t>
      </w:r>
      <w:r w:rsidRPr="00E06459">
        <w:rPr>
          <w:rFonts w:eastAsia="Times New Roman"/>
          <w:color w:val="000000"/>
          <w:bdr w:val="none" w:sz="0" w:space="0" w:color="auto" w:frame="1"/>
          <w:shd w:val="clear" w:color="auto" w:fill="FFFF00"/>
          <w:lang w:val="en-US"/>
        </w:rPr>
        <w:t>or 4A</w:t>
      </w:r>
      <w:r w:rsidRPr="00E06459">
        <w:rPr>
          <w:rFonts w:eastAsia="Times New Roman"/>
          <w:color w:val="000000"/>
          <w:bdr w:val="none" w:sz="0" w:space="0" w:color="auto" w:frame="1"/>
          <w:lang w:val="en-US"/>
        </w:rPr>
        <w:t>.</w:t>
      </w:r>
    </w:p>
    <w:p w14:paraId="21ABA4F3" w14:textId="77777777" w:rsidR="00E06459" w:rsidRDefault="00E06459">
      <w:pPr>
        <w:spacing w:after="200" w:line="259" w:lineRule="auto"/>
        <w:ind w:left="720"/>
        <w:rPr>
          <w:b/>
          <w:sz w:val="26"/>
          <w:szCs w:val="26"/>
        </w:rPr>
      </w:pPr>
    </w:p>
    <w:sectPr w:rsidR="00E06459">
      <w:footerReference w:type="default" r:id="rId23"/>
      <w:headerReference w:type="first" r:id="rId24"/>
      <w:footerReference w:type="first" r:id="rId25"/>
      <w:pgSz w:w="12240" w:h="15840"/>
      <w:pgMar w:top="162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6EA4A" w14:textId="77777777" w:rsidR="001D279E" w:rsidRDefault="001D279E">
      <w:pPr>
        <w:spacing w:line="240" w:lineRule="auto"/>
      </w:pPr>
      <w:r>
        <w:separator/>
      </w:r>
    </w:p>
  </w:endnote>
  <w:endnote w:type="continuationSeparator" w:id="0">
    <w:p w14:paraId="16C3B1FB" w14:textId="77777777" w:rsidR="001D279E" w:rsidRDefault="001D27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CFB5" w14:textId="77777777" w:rsidR="00E70178" w:rsidRDefault="00000000">
    <w:pPr>
      <w:jc w:val="right"/>
    </w:pPr>
    <w:r>
      <w:fldChar w:fldCharType="begin"/>
    </w:r>
    <w:r>
      <w:instrText>PAGE</w:instrText>
    </w:r>
    <w:r>
      <w:fldChar w:fldCharType="separate"/>
    </w:r>
    <w:r w:rsidR="00C6543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4F1" w14:textId="77777777" w:rsidR="00E70178" w:rsidRDefault="00000000">
    <w:pPr>
      <w:jc w:val="right"/>
    </w:pPr>
    <w:r>
      <w:fldChar w:fldCharType="begin"/>
    </w:r>
    <w:r>
      <w:instrText>PAGE</w:instrText>
    </w:r>
    <w:r>
      <w:fldChar w:fldCharType="separate"/>
    </w:r>
    <w:r w:rsidR="00C654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D2BAD" w14:textId="77777777" w:rsidR="001D279E" w:rsidRDefault="001D279E">
      <w:pPr>
        <w:spacing w:line="240" w:lineRule="auto"/>
      </w:pPr>
      <w:r>
        <w:separator/>
      </w:r>
    </w:p>
  </w:footnote>
  <w:footnote w:type="continuationSeparator" w:id="0">
    <w:p w14:paraId="74ED3FD6" w14:textId="77777777" w:rsidR="001D279E" w:rsidRDefault="001D27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1357" w14:textId="4954D4AB" w:rsidR="00E70178" w:rsidRDefault="00E70178">
    <w:pPr>
      <w:ind w:firstLine="1530"/>
      <w:jc w:val="center"/>
      <w:rPr>
        <w:b/>
        <w:sz w:val="36"/>
        <w:szCs w:val="36"/>
      </w:rPr>
    </w:pPr>
  </w:p>
  <w:p w14:paraId="1AC9BEE8" w14:textId="77777777" w:rsidR="00E70178" w:rsidRDefault="00000000">
    <w:pPr>
      <w:ind w:firstLine="1530"/>
      <w:jc w:val="center"/>
      <w:rPr>
        <w:b/>
        <w:sz w:val="36"/>
        <w:szCs w:val="36"/>
      </w:rPr>
    </w:pPr>
    <w:proofErr w:type="spellStart"/>
    <w:r>
      <w:rPr>
        <w:b/>
        <w:sz w:val="36"/>
        <w:szCs w:val="36"/>
      </w:rPr>
      <w:t>Thermo</w:t>
    </w:r>
    <w:proofErr w:type="spellEnd"/>
    <w:r>
      <w:rPr>
        <w:b/>
        <w:sz w:val="36"/>
        <w:szCs w:val="36"/>
      </w:rPr>
      <w:t xml:space="preserve"> </w:t>
    </w:r>
    <w:proofErr w:type="spellStart"/>
    <w:r>
      <w:rPr>
        <w:b/>
        <w:sz w:val="36"/>
        <w:szCs w:val="36"/>
      </w:rPr>
      <w:t>iCAP</w:t>
    </w:r>
    <w:proofErr w:type="spellEnd"/>
    <w:r>
      <w:rPr>
        <w:b/>
        <w:sz w:val="36"/>
        <w:szCs w:val="36"/>
      </w:rPr>
      <w:t xml:space="preserve"> RQ ICP-MS </w:t>
    </w:r>
  </w:p>
  <w:p w14:paraId="48AD9D00" w14:textId="77777777" w:rsidR="00E70178" w:rsidRDefault="00000000">
    <w:pPr>
      <w:ind w:firstLine="1530"/>
      <w:jc w:val="center"/>
      <w:rPr>
        <w:b/>
        <w:sz w:val="36"/>
        <w:szCs w:val="36"/>
      </w:rPr>
    </w:pPr>
    <w:r>
      <w:rPr>
        <w:b/>
        <w:sz w:val="36"/>
        <w:szCs w:val="36"/>
      </w:rPr>
      <w:t>Standard Operating Procedure</w:t>
    </w:r>
  </w:p>
  <w:p w14:paraId="476CF738" w14:textId="77777777" w:rsidR="00E70178" w:rsidRDefault="00E701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71755"/>
    <w:multiLevelType w:val="multilevel"/>
    <w:tmpl w:val="A7E6AC8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sz w:val="18"/>
        <w:szCs w:val="18"/>
        <w:u w:val="none"/>
      </w:rPr>
    </w:lvl>
    <w:lvl w:ilvl="3">
      <w:start w:val="1"/>
      <w:numFmt w:val="decimal"/>
      <w:lvlText w:val="%1.%2.%3.%4."/>
      <w:lvlJc w:val="right"/>
      <w:pPr>
        <w:ind w:left="2880" w:hanging="360"/>
      </w:pPr>
      <w:rPr>
        <w:sz w:val="18"/>
        <w:szCs w:val="18"/>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3D6C1C0D"/>
    <w:multiLevelType w:val="multilevel"/>
    <w:tmpl w:val="A0080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2629964">
    <w:abstractNumId w:val="0"/>
  </w:num>
  <w:num w:numId="2" w16cid:durableId="1799294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178"/>
    <w:rsid w:val="000E3090"/>
    <w:rsid w:val="001D279E"/>
    <w:rsid w:val="008F637D"/>
    <w:rsid w:val="00A0099E"/>
    <w:rsid w:val="00AD3614"/>
    <w:rsid w:val="00C65434"/>
    <w:rsid w:val="00CA47A1"/>
    <w:rsid w:val="00E06459"/>
    <w:rsid w:val="00E70178"/>
    <w:rsid w:val="00F75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DFEA7"/>
  <w15:docId w15:val="{50ECE151-4C4E-4C51-8C1E-96030279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65434"/>
    <w:pPr>
      <w:tabs>
        <w:tab w:val="center" w:pos="4680"/>
        <w:tab w:val="right" w:pos="9360"/>
      </w:tabs>
      <w:spacing w:line="240" w:lineRule="auto"/>
    </w:pPr>
  </w:style>
  <w:style w:type="character" w:customStyle="1" w:styleId="HeaderChar">
    <w:name w:val="Header Char"/>
    <w:basedOn w:val="DefaultParagraphFont"/>
    <w:link w:val="Header"/>
    <w:uiPriority w:val="99"/>
    <w:rsid w:val="00C65434"/>
  </w:style>
  <w:style w:type="paragraph" w:styleId="Footer">
    <w:name w:val="footer"/>
    <w:basedOn w:val="Normal"/>
    <w:link w:val="FooterChar"/>
    <w:uiPriority w:val="99"/>
    <w:unhideWhenUsed/>
    <w:rsid w:val="00C65434"/>
    <w:pPr>
      <w:tabs>
        <w:tab w:val="center" w:pos="4680"/>
        <w:tab w:val="right" w:pos="9360"/>
      </w:tabs>
      <w:spacing w:line="240" w:lineRule="auto"/>
    </w:pPr>
  </w:style>
  <w:style w:type="character" w:customStyle="1" w:styleId="FooterChar">
    <w:name w:val="Footer Char"/>
    <w:basedOn w:val="DefaultParagraphFont"/>
    <w:link w:val="Footer"/>
    <w:uiPriority w:val="99"/>
    <w:rsid w:val="00C65434"/>
  </w:style>
  <w:style w:type="character" w:styleId="Hyperlink">
    <w:name w:val="Hyperlink"/>
    <w:basedOn w:val="DefaultParagraphFont"/>
    <w:uiPriority w:val="99"/>
    <w:unhideWhenUsed/>
    <w:rsid w:val="00F7590D"/>
    <w:rPr>
      <w:color w:val="0000FF" w:themeColor="hyperlink"/>
      <w:u w:val="single"/>
    </w:rPr>
  </w:style>
  <w:style w:type="character" w:styleId="UnresolvedMention">
    <w:name w:val="Unresolved Mention"/>
    <w:basedOn w:val="DefaultParagraphFont"/>
    <w:uiPriority w:val="99"/>
    <w:semiHidden/>
    <w:unhideWhenUsed/>
    <w:rsid w:val="00F7590D"/>
    <w:rPr>
      <w:color w:val="605E5C"/>
      <w:shd w:val="clear" w:color="auto" w:fill="E1DFDD"/>
    </w:rPr>
  </w:style>
  <w:style w:type="character" w:customStyle="1" w:styleId="marks65cu71af">
    <w:name w:val="marks65cu71af"/>
    <w:basedOn w:val="DefaultParagraphFont"/>
    <w:rsid w:val="00E06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45415">
      <w:bodyDiv w:val="1"/>
      <w:marLeft w:val="0"/>
      <w:marRight w:val="0"/>
      <w:marTop w:val="0"/>
      <w:marBottom w:val="0"/>
      <w:divBdr>
        <w:top w:val="none" w:sz="0" w:space="0" w:color="auto"/>
        <w:left w:val="none" w:sz="0" w:space="0" w:color="auto"/>
        <w:bottom w:val="none" w:sz="0" w:space="0" w:color="auto"/>
        <w:right w:val="none" w:sz="0" w:space="0" w:color="auto"/>
      </w:divBdr>
      <w:divsChild>
        <w:div w:id="738408721">
          <w:marLeft w:val="0"/>
          <w:marRight w:val="0"/>
          <w:marTop w:val="0"/>
          <w:marBottom w:val="0"/>
          <w:divBdr>
            <w:top w:val="none" w:sz="0" w:space="0" w:color="auto"/>
            <w:left w:val="none" w:sz="0" w:space="0" w:color="auto"/>
            <w:bottom w:val="none" w:sz="0" w:space="0" w:color="auto"/>
            <w:right w:val="none" w:sz="0" w:space="0" w:color="auto"/>
          </w:divBdr>
        </w:div>
        <w:div w:id="1247812295">
          <w:marLeft w:val="0"/>
          <w:marRight w:val="0"/>
          <w:marTop w:val="0"/>
          <w:marBottom w:val="0"/>
          <w:divBdr>
            <w:top w:val="none" w:sz="0" w:space="0" w:color="auto"/>
            <w:left w:val="none" w:sz="0" w:space="0" w:color="auto"/>
            <w:bottom w:val="none" w:sz="0" w:space="0" w:color="auto"/>
            <w:right w:val="none" w:sz="0" w:space="0" w:color="auto"/>
          </w:divBdr>
        </w:div>
        <w:div w:id="170999134">
          <w:marLeft w:val="0"/>
          <w:marRight w:val="0"/>
          <w:marTop w:val="0"/>
          <w:marBottom w:val="0"/>
          <w:divBdr>
            <w:top w:val="none" w:sz="0" w:space="0" w:color="auto"/>
            <w:left w:val="none" w:sz="0" w:space="0" w:color="auto"/>
            <w:bottom w:val="none" w:sz="0" w:space="0" w:color="auto"/>
            <w:right w:val="none" w:sz="0" w:space="0" w:color="auto"/>
          </w:divBdr>
          <w:divsChild>
            <w:div w:id="692462399">
              <w:marLeft w:val="0"/>
              <w:marRight w:val="0"/>
              <w:marTop w:val="0"/>
              <w:marBottom w:val="0"/>
              <w:divBdr>
                <w:top w:val="none" w:sz="0" w:space="0" w:color="auto"/>
                <w:left w:val="none" w:sz="0" w:space="0" w:color="auto"/>
                <w:bottom w:val="none" w:sz="0" w:space="0" w:color="auto"/>
                <w:right w:val="none" w:sz="0" w:space="0" w:color="auto"/>
              </w:divBdr>
              <w:divsChild>
                <w:div w:id="1417675323">
                  <w:marLeft w:val="0"/>
                  <w:marRight w:val="0"/>
                  <w:marTop w:val="0"/>
                  <w:marBottom w:val="0"/>
                  <w:divBdr>
                    <w:top w:val="none" w:sz="0" w:space="0" w:color="auto"/>
                    <w:left w:val="none" w:sz="0" w:space="0" w:color="auto"/>
                    <w:bottom w:val="none" w:sz="0" w:space="0" w:color="auto"/>
                    <w:right w:val="none" w:sz="0" w:space="0" w:color="auto"/>
                  </w:divBdr>
                  <w:divsChild>
                    <w:div w:id="15279091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77002138">
              <w:marLeft w:val="0"/>
              <w:marRight w:val="0"/>
              <w:marTop w:val="0"/>
              <w:marBottom w:val="0"/>
              <w:divBdr>
                <w:top w:val="none" w:sz="0" w:space="0" w:color="auto"/>
                <w:left w:val="none" w:sz="0" w:space="0" w:color="auto"/>
                <w:bottom w:val="none" w:sz="0" w:space="0" w:color="auto"/>
                <w:right w:val="none" w:sz="0" w:space="0" w:color="auto"/>
              </w:divBdr>
            </w:div>
          </w:divsChild>
        </w:div>
        <w:div w:id="1729647582">
          <w:marLeft w:val="0"/>
          <w:marRight w:val="0"/>
          <w:marTop w:val="0"/>
          <w:marBottom w:val="0"/>
          <w:divBdr>
            <w:top w:val="none" w:sz="0" w:space="0" w:color="auto"/>
            <w:left w:val="none" w:sz="0" w:space="0" w:color="auto"/>
            <w:bottom w:val="none" w:sz="0" w:space="0" w:color="auto"/>
            <w:right w:val="none" w:sz="0" w:space="0" w:color="auto"/>
          </w:divBdr>
        </w:div>
        <w:div w:id="960837916">
          <w:marLeft w:val="0"/>
          <w:marRight w:val="0"/>
          <w:marTop w:val="0"/>
          <w:marBottom w:val="0"/>
          <w:divBdr>
            <w:top w:val="none" w:sz="0" w:space="0" w:color="auto"/>
            <w:left w:val="none" w:sz="0" w:space="0" w:color="auto"/>
            <w:bottom w:val="none" w:sz="0" w:space="0" w:color="auto"/>
            <w:right w:val="none" w:sz="0" w:space="0" w:color="auto"/>
          </w:divBdr>
          <w:divsChild>
            <w:div w:id="1242063493">
              <w:marLeft w:val="0"/>
              <w:marRight w:val="0"/>
              <w:marTop w:val="0"/>
              <w:marBottom w:val="0"/>
              <w:divBdr>
                <w:top w:val="none" w:sz="0" w:space="0" w:color="auto"/>
                <w:left w:val="none" w:sz="0" w:space="0" w:color="auto"/>
                <w:bottom w:val="none" w:sz="0" w:space="0" w:color="auto"/>
                <w:right w:val="none" w:sz="0" w:space="0" w:color="auto"/>
              </w:divBdr>
              <w:divsChild>
                <w:div w:id="1517571866">
                  <w:marLeft w:val="0"/>
                  <w:marRight w:val="0"/>
                  <w:marTop w:val="0"/>
                  <w:marBottom w:val="0"/>
                  <w:divBdr>
                    <w:top w:val="none" w:sz="0" w:space="0" w:color="auto"/>
                    <w:left w:val="none" w:sz="0" w:space="0" w:color="auto"/>
                    <w:bottom w:val="none" w:sz="0" w:space="0" w:color="auto"/>
                    <w:right w:val="none" w:sz="0" w:space="0" w:color="auto"/>
                  </w:divBdr>
                  <w:divsChild>
                    <w:div w:id="2497050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3064">
      <w:bodyDiv w:val="1"/>
      <w:marLeft w:val="0"/>
      <w:marRight w:val="0"/>
      <w:marTop w:val="0"/>
      <w:marBottom w:val="0"/>
      <w:divBdr>
        <w:top w:val="none" w:sz="0" w:space="0" w:color="auto"/>
        <w:left w:val="none" w:sz="0" w:space="0" w:color="auto"/>
        <w:bottom w:val="none" w:sz="0" w:space="0" w:color="auto"/>
        <w:right w:val="none" w:sz="0" w:space="0" w:color="auto"/>
      </w:divBdr>
      <w:divsChild>
        <w:div w:id="1318924422">
          <w:marLeft w:val="0"/>
          <w:marRight w:val="0"/>
          <w:marTop w:val="0"/>
          <w:marBottom w:val="0"/>
          <w:divBdr>
            <w:top w:val="none" w:sz="0" w:space="0" w:color="auto"/>
            <w:left w:val="none" w:sz="0" w:space="0" w:color="auto"/>
            <w:bottom w:val="none" w:sz="0" w:space="0" w:color="auto"/>
            <w:right w:val="none" w:sz="0" w:space="0" w:color="auto"/>
          </w:divBdr>
        </w:div>
        <w:div w:id="655718700">
          <w:marLeft w:val="0"/>
          <w:marRight w:val="0"/>
          <w:marTop w:val="0"/>
          <w:marBottom w:val="0"/>
          <w:divBdr>
            <w:top w:val="none" w:sz="0" w:space="0" w:color="auto"/>
            <w:left w:val="none" w:sz="0" w:space="0" w:color="auto"/>
            <w:bottom w:val="none" w:sz="0" w:space="0" w:color="auto"/>
            <w:right w:val="none" w:sz="0" w:space="0" w:color="auto"/>
          </w:divBdr>
        </w:div>
        <w:div w:id="371618959">
          <w:marLeft w:val="0"/>
          <w:marRight w:val="0"/>
          <w:marTop w:val="0"/>
          <w:marBottom w:val="0"/>
          <w:divBdr>
            <w:top w:val="none" w:sz="0" w:space="0" w:color="auto"/>
            <w:left w:val="none" w:sz="0" w:space="0" w:color="auto"/>
            <w:bottom w:val="none" w:sz="0" w:space="0" w:color="auto"/>
            <w:right w:val="none" w:sz="0" w:space="0" w:color="auto"/>
          </w:divBdr>
          <w:divsChild>
            <w:div w:id="159069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5008589">
                  <w:marLeft w:val="0"/>
                  <w:marRight w:val="0"/>
                  <w:marTop w:val="0"/>
                  <w:marBottom w:val="0"/>
                  <w:divBdr>
                    <w:top w:val="none" w:sz="0" w:space="0" w:color="auto"/>
                    <w:left w:val="none" w:sz="0" w:space="0" w:color="auto"/>
                    <w:bottom w:val="none" w:sz="0" w:space="0" w:color="auto"/>
                    <w:right w:val="none" w:sz="0" w:space="0" w:color="auto"/>
                  </w:divBdr>
                  <w:divsChild>
                    <w:div w:id="1135224286">
                      <w:marLeft w:val="0"/>
                      <w:marRight w:val="0"/>
                      <w:marTop w:val="0"/>
                      <w:marBottom w:val="0"/>
                      <w:divBdr>
                        <w:top w:val="none" w:sz="0" w:space="0" w:color="auto"/>
                        <w:left w:val="none" w:sz="0" w:space="0" w:color="auto"/>
                        <w:bottom w:val="none" w:sz="0" w:space="0" w:color="auto"/>
                        <w:right w:val="none" w:sz="0" w:space="0" w:color="auto"/>
                      </w:divBdr>
                    </w:div>
                    <w:div w:id="117762306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us.vwr.com/store/product/4648943/vwr-sterile-metal-free-centrifuge-tubes-p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ishersci.com/shop/products/nitric-acid-tracemetal-grade-fisher-chemical-3/A509P212"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fishersci.com/shop/products/nitric-acid-tracemetal-grade-fisher-chemical-3/A509P2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s://us.vwr.com/store/product/4648943/vwr-sterile-metal-free-centrifuge-tubes-pp"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1085</TotalTime>
  <Pages>18</Pages>
  <Words>3525</Words>
  <Characters>20095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Tavakoli, David A</cp:lastModifiedBy>
  <cp:revision>3</cp:revision>
  <dcterms:created xsi:type="dcterms:W3CDTF">2023-12-05T15:33:00Z</dcterms:created>
  <dcterms:modified xsi:type="dcterms:W3CDTF">2023-12-06T09:34:00Z</dcterms:modified>
</cp:coreProperties>
</file>